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87009A" w:rsidP="00194AA6">
      <w:pPr>
        <w:jc w:val="center"/>
      </w:pPr>
      <w:r>
        <w:rPr>
          <w:noProof/>
        </w:rPr>
        <w:drawing>
          <wp:inline distT="0" distB="0" distL="0" distR="0">
            <wp:extent cx="1711960" cy="1122045"/>
            <wp:effectExtent l="19050" t="0" r="254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1960" cy="1122045"/>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7D09FA" w:rsidRPr="0049582C" w:rsidRDefault="007D09FA" w:rsidP="007D09FA">
      <w:pPr>
        <w:jc w:val="center"/>
        <w:rPr>
          <w:sz w:val="22"/>
          <w:szCs w:val="22"/>
        </w:rPr>
      </w:pPr>
      <w:r w:rsidRPr="0049582C">
        <w:rPr>
          <w:sz w:val="22"/>
          <w:szCs w:val="22"/>
        </w:rPr>
        <w:t>Oleander Power Project, L.P.</w:t>
      </w:r>
    </w:p>
    <w:p w:rsidR="007D09FA" w:rsidRPr="0049582C" w:rsidRDefault="007D09FA" w:rsidP="007D09FA">
      <w:pPr>
        <w:jc w:val="center"/>
        <w:rPr>
          <w:sz w:val="22"/>
          <w:szCs w:val="22"/>
          <w:highlight w:val="yellow"/>
        </w:rPr>
      </w:pPr>
      <w:r w:rsidRPr="0049582C">
        <w:rPr>
          <w:bCs/>
          <w:sz w:val="22"/>
          <w:szCs w:val="22"/>
        </w:rPr>
        <w:t>555 Townsend Road</w:t>
      </w:r>
    </w:p>
    <w:p w:rsidR="007D09FA" w:rsidRPr="0049582C" w:rsidRDefault="007D09FA" w:rsidP="007D09FA">
      <w:pPr>
        <w:tabs>
          <w:tab w:val="center" w:pos="3168"/>
          <w:tab w:val="left" w:pos="3240"/>
          <w:tab w:val="left" w:pos="3615"/>
        </w:tabs>
        <w:jc w:val="center"/>
        <w:rPr>
          <w:sz w:val="22"/>
          <w:szCs w:val="22"/>
        </w:rPr>
      </w:pPr>
      <w:r w:rsidRPr="0049582C">
        <w:rPr>
          <w:sz w:val="22"/>
          <w:szCs w:val="22"/>
        </w:rPr>
        <w:t>Cocoa, Florida 32926</w:t>
      </w:r>
    </w:p>
    <w:p w:rsidR="00194AA6" w:rsidRPr="00746205" w:rsidRDefault="00194AA6" w:rsidP="00194AA6">
      <w:pPr>
        <w:widowControl w:val="0"/>
        <w:jc w:val="center"/>
        <w:rPr>
          <w:sz w:val="22"/>
          <w:szCs w:val="22"/>
        </w:rPr>
      </w:pPr>
    </w:p>
    <w:p w:rsidR="00194AA6" w:rsidRDefault="00194AA6" w:rsidP="00194AA6">
      <w:pPr>
        <w:widowControl w:val="0"/>
        <w:jc w:val="center"/>
        <w:rPr>
          <w:sz w:val="22"/>
          <w:szCs w:val="22"/>
          <w:highlight w:val="yellow"/>
        </w:rPr>
      </w:pPr>
    </w:p>
    <w:p w:rsidR="00194AA6" w:rsidRPr="00746205" w:rsidRDefault="007D09FA" w:rsidP="00194AA6">
      <w:pPr>
        <w:widowControl w:val="0"/>
        <w:jc w:val="center"/>
        <w:rPr>
          <w:sz w:val="22"/>
          <w:szCs w:val="22"/>
        </w:rPr>
      </w:pPr>
      <w:r w:rsidRPr="0049582C">
        <w:rPr>
          <w:sz w:val="22"/>
          <w:szCs w:val="22"/>
        </w:rPr>
        <w:t>Oleander Power Project</w:t>
      </w:r>
    </w:p>
    <w:p w:rsidR="00194AA6" w:rsidRDefault="00194AA6" w:rsidP="00194AA6">
      <w:pPr>
        <w:widowControl w:val="0"/>
        <w:jc w:val="center"/>
        <w:rPr>
          <w:sz w:val="22"/>
          <w:szCs w:val="22"/>
        </w:rPr>
      </w:pPr>
      <w:r w:rsidRPr="00746205">
        <w:rPr>
          <w:sz w:val="22"/>
          <w:szCs w:val="22"/>
        </w:rPr>
        <w:t xml:space="preserve">Facility ID No. </w:t>
      </w:r>
      <w:r w:rsidR="007D09FA">
        <w:rPr>
          <w:sz w:val="22"/>
          <w:szCs w:val="22"/>
        </w:rPr>
        <w:t>0090180</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7D09FA" w:rsidRPr="0049582C">
        <w:rPr>
          <w:sz w:val="22"/>
          <w:szCs w:val="22"/>
        </w:rPr>
        <w:t>0090180-007-AC</w:t>
      </w:r>
      <w:r w:rsidR="004335B6">
        <w:rPr>
          <w:sz w:val="22"/>
          <w:szCs w:val="22"/>
        </w:rPr>
        <w:t>/PSD-FL-258A/PSD-FL-377A</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7D09FA" w:rsidP="00194AA6">
      <w:pPr>
        <w:jc w:val="center"/>
        <w:rPr>
          <w:sz w:val="22"/>
        </w:rPr>
      </w:pPr>
      <w:r w:rsidRPr="002D4960">
        <w:rPr>
          <w:sz w:val="22"/>
          <w:szCs w:val="22"/>
        </w:rPr>
        <w:t>Miscellaneous Revisions</w:t>
      </w:r>
    </w:p>
    <w:p w:rsidR="00193F10" w:rsidRDefault="00193F10" w:rsidP="00194AA6">
      <w:pPr>
        <w:jc w:val="center"/>
        <w:rPr>
          <w:sz w:val="22"/>
        </w:rPr>
      </w:pPr>
    </w:p>
    <w:p w:rsidR="00CD1D53" w:rsidRDefault="00CD1D53"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CD1D53" w:rsidP="00194AA6">
      <w:pPr>
        <w:jc w:val="center"/>
        <w:rPr>
          <w:sz w:val="22"/>
        </w:rPr>
      </w:pPr>
      <w:r>
        <w:rPr>
          <w:sz w:val="22"/>
        </w:rPr>
        <w:t>Brevard</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 Stone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E11B8E" w:rsidP="00194AA6">
      <w:pPr>
        <w:jc w:val="center"/>
        <w:rPr>
          <w:sz w:val="22"/>
        </w:rPr>
      </w:pPr>
      <w:r>
        <w:rPr>
          <w:sz w:val="22"/>
        </w:rPr>
        <w:t xml:space="preserve">May </w:t>
      </w:r>
      <w:r w:rsidR="001B0D17">
        <w:rPr>
          <w:sz w:val="22"/>
        </w:rPr>
        <w:t>9</w:t>
      </w:r>
      <w:r>
        <w:rPr>
          <w:sz w:val="22"/>
        </w:rPr>
        <w:t>,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pPr>
        <w:pStyle w:val="Heading9"/>
        <w:ind w:left="0"/>
        <w:rPr>
          <w:b/>
          <w:bCs/>
          <w:u w:val="none"/>
        </w:rPr>
      </w:pPr>
      <w:r>
        <w:rPr>
          <w:b/>
          <w:bCs/>
          <w:u w:val="none"/>
        </w:rPr>
        <w:t>Facility Description and Location</w:t>
      </w:r>
    </w:p>
    <w:p w:rsidR="00193F10" w:rsidRDefault="007D09FA" w:rsidP="004D1D9F">
      <w:pPr>
        <w:pStyle w:val="BodyText3"/>
        <w:numPr>
          <w:ilvl w:val="12"/>
          <w:numId w:val="0"/>
        </w:numPr>
        <w:spacing w:before="0"/>
      </w:pPr>
      <w:r w:rsidRPr="0049582C">
        <w:rPr>
          <w:szCs w:val="22"/>
        </w:rPr>
        <w:t>Oleander Power Project</w:t>
      </w:r>
      <w:r w:rsidRPr="00CD1D53">
        <w:t xml:space="preserve"> </w:t>
      </w:r>
      <w:r w:rsidR="00302267" w:rsidRPr="00CD1D53">
        <w:t>is a</w:t>
      </w:r>
      <w:r w:rsidR="00CD1D53">
        <w:t>n</w:t>
      </w:r>
      <w:r w:rsidR="00302267" w:rsidRPr="00CD1D53">
        <w:t xml:space="preserve"> </w:t>
      </w:r>
      <w:r w:rsidR="004D1D9F" w:rsidRPr="00CD1D53">
        <w:t>existing</w:t>
      </w:r>
      <w:r w:rsidR="001D1649">
        <w:t xml:space="preserve"> </w:t>
      </w:r>
      <w:r>
        <w:rPr>
          <w:szCs w:val="22"/>
        </w:rPr>
        <w:t>electric power generator</w:t>
      </w:r>
      <w:r w:rsidR="001D1649" w:rsidRPr="001C4E37">
        <w:t xml:space="preserve">, which is categorized </w:t>
      </w:r>
      <w:r w:rsidR="001D1649">
        <w:t xml:space="preserve">under </w:t>
      </w:r>
      <w:r w:rsidR="001D1649" w:rsidRPr="001C4E37">
        <w:rPr>
          <w:bCs/>
        </w:rPr>
        <w:t xml:space="preserve">Standard Industrial Classification Code No. </w:t>
      </w:r>
      <w:r>
        <w:rPr>
          <w:bCs/>
        </w:rPr>
        <w:t>4911</w:t>
      </w:r>
      <w:r w:rsidR="001D1649" w:rsidRPr="001C4E37">
        <w:rPr>
          <w:bCs/>
        </w:rPr>
        <w:t>.</w:t>
      </w:r>
      <w:r w:rsidR="001D1649">
        <w:rPr>
          <w:bCs/>
        </w:rPr>
        <w:t xml:space="preserve"> </w:t>
      </w:r>
      <w:r w:rsidR="001C4E37">
        <w:t xml:space="preserve"> </w:t>
      </w:r>
      <w:r w:rsidR="00CD1D53">
        <w:rPr>
          <w:szCs w:val="22"/>
        </w:rPr>
        <w:t>The</w:t>
      </w:r>
      <w:r w:rsidR="00CD1D53" w:rsidRPr="000472DA">
        <w:rPr>
          <w:szCs w:val="22"/>
        </w:rPr>
        <w:t xml:space="preserve"> </w:t>
      </w:r>
      <w:r w:rsidR="00CD1D53" w:rsidRPr="00935FD1">
        <w:rPr>
          <w:szCs w:val="22"/>
        </w:rPr>
        <w:t>existing</w:t>
      </w:r>
      <w:r w:rsidR="00CD1D53">
        <w:rPr>
          <w:szCs w:val="22"/>
        </w:rPr>
        <w:t xml:space="preserve"> </w:t>
      </w:r>
      <w:r w:rsidR="00CD1D53" w:rsidRPr="000472DA">
        <w:rPr>
          <w:szCs w:val="22"/>
        </w:rPr>
        <w:t xml:space="preserve">facility </w:t>
      </w:r>
      <w:r w:rsidR="00CD1D53" w:rsidRPr="00935FD1">
        <w:rPr>
          <w:szCs w:val="22"/>
        </w:rPr>
        <w:t>is</w:t>
      </w:r>
      <w:r w:rsidR="00CD1D53">
        <w:rPr>
          <w:szCs w:val="22"/>
        </w:rPr>
        <w:t xml:space="preserve"> </w:t>
      </w:r>
      <w:r w:rsidR="00CD1D53" w:rsidRPr="000472DA">
        <w:rPr>
          <w:szCs w:val="22"/>
        </w:rPr>
        <w:t xml:space="preserve">located </w:t>
      </w:r>
      <w:r w:rsidR="00CD1D53">
        <w:rPr>
          <w:szCs w:val="22"/>
        </w:rPr>
        <w:t xml:space="preserve">in </w:t>
      </w:r>
      <w:r w:rsidR="00CD1D53" w:rsidRPr="009E2BCB">
        <w:t>Brevard</w:t>
      </w:r>
      <w:r w:rsidR="00CD1D53">
        <w:t xml:space="preserve"> </w:t>
      </w:r>
      <w:r w:rsidR="00CD1D53" w:rsidRPr="00FD475D">
        <w:rPr>
          <w:szCs w:val="22"/>
        </w:rPr>
        <w:t>County</w:t>
      </w:r>
      <w:r w:rsidR="00CD1D53" w:rsidRPr="000472DA">
        <w:rPr>
          <w:szCs w:val="22"/>
        </w:rPr>
        <w:t xml:space="preserve"> at </w:t>
      </w:r>
      <w:r w:rsidR="00CD1D53" w:rsidRPr="009E2BCB">
        <w:t>555 Townsend Road</w:t>
      </w:r>
      <w:r w:rsidR="00CD1D53" w:rsidRPr="00FD475D">
        <w:rPr>
          <w:szCs w:val="22"/>
        </w:rPr>
        <w:t xml:space="preserve"> in </w:t>
      </w:r>
      <w:r w:rsidR="00CD1D53" w:rsidRPr="009E2BCB">
        <w:t>Cocoa</w:t>
      </w:r>
      <w:r w:rsidR="00CD1D53" w:rsidRPr="00FD475D">
        <w:rPr>
          <w:szCs w:val="22"/>
        </w:rPr>
        <w:t xml:space="preserve">, </w:t>
      </w:r>
      <w:r w:rsidR="00CD1D53">
        <w:rPr>
          <w:szCs w:val="22"/>
        </w:rPr>
        <w:t>Florida</w:t>
      </w:r>
      <w:r w:rsidR="00CD1D53" w:rsidRPr="000472DA">
        <w:rPr>
          <w:szCs w:val="22"/>
        </w:rPr>
        <w:t xml:space="preserve">.  The UTM coordinates are Zone </w:t>
      </w:r>
      <w:r w:rsidR="00CD1D53">
        <w:t>17, 520.12 km East, 3137.58 km N</w:t>
      </w:r>
      <w:r w:rsidR="00193F10">
        <w:t>orth.  This site is in an area that is in attainment (or designated as unclassifiable) for all air</w:t>
      </w:r>
      <w:r w:rsidR="001D487F">
        <w:t xml:space="preserve"> pollutants subject to </w:t>
      </w:r>
      <w:r w:rsidR="00193F10">
        <w:t>Ambient Air Quality Standard</w:t>
      </w:r>
      <w:r w:rsidR="001D487F">
        <w:t>s</w:t>
      </w:r>
      <w:r w:rsidR="00F71458">
        <w:t xml:space="preserve"> (</w:t>
      </w:r>
      <w:r w:rsidR="00193F10">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CD1D53" w:rsidRDefault="00F71458" w:rsidP="00F71458">
      <w:pPr>
        <w:numPr>
          <w:ilvl w:val="0"/>
          <w:numId w:val="3"/>
        </w:numPr>
        <w:spacing w:after="120"/>
        <w:rPr>
          <w:sz w:val="22"/>
          <w:szCs w:val="22"/>
        </w:rPr>
      </w:pPr>
      <w:r w:rsidRPr="00CD1D53">
        <w:rPr>
          <w:sz w:val="22"/>
          <w:szCs w:val="22"/>
        </w:rPr>
        <w:t>The facility is not a major source of hazardous air pollutants (HAP).</w:t>
      </w:r>
    </w:p>
    <w:p w:rsidR="00F71458" w:rsidRPr="00CD1D53" w:rsidRDefault="00F71458" w:rsidP="00F71458">
      <w:pPr>
        <w:pStyle w:val="BodyText"/>
        <w:numPr>
          <w:ilvl w:val="0"/>
          <w:numId w:val="3"/>
        </w:numPr>
        <w:rPr>
          <w:sz w:val="22"/>
          <w:szCs w:val="22"/>
        </w:rPr>
      </w:pPr>
      <w:r w:rsidRPr="00CD1D53">
        <w:rPr>
          <w:sz w:val="22"/>
          <w:szCs w:val="22"/>
        </w:rPr>
        <w:t xml:space="preserve">The facility </w:t>
      </w:r>
      <w:r w:rsidR="00302267" w:rsidRPr="00CD1D53">
        <w:rPr>
          <w:sz w:val="22"/>
          <w:szCs w:val="22"/>
        </w:rPr>
        <w:t xml:space="preserve">operates </w:t>
      </w:r>
      <w:r w:rsidRPr="00CD1D53">
        <w:rPr>
          <w:sz w:val="22"/>
          <w:szCs w:val="22"/>
        </w:rPr>
        <w:t>units subject to the acid rain provisions of the Clean Air Act.</w:t>
      </w:r>
    </w:p>
    <w:p w:rsidR="00F71458" w:rsidRPr="00CD1D53" w:rsidRDefault="00F71458" w:rsidP="00F71458">
      <w:pPr>
        <w:numPr>
          <w:ilvl w:val="0"/>
          <w:numId w:val="3"/>
        </w:numPr>
        <w:spacing w:after="120"/>
        <w:rPr>
          <w:sz w:val="22"/>
          <w:szCs w:val="22"/>
        </w:rPr>
      </w:pPr>
      <w:r w:rsidRPr="00CD1D53">
        <w:rPr>
          <w:sz w:val="22"/>
          <w:szCs w:val="22"/>
        </w:rPr>
        <w:t xml:space="preserve">The facility is a Title V major source of air pollution in accordance with Chapter </w:t>
      </w:r>
      <w:r w:rsidR="009F6095" w:rsidRPr="00CD1D53">
        <w:rPr>
          <w:sz w:val="22"/>
          <w:szCs w:val="22"/>
        </w:rPr>
        <w:t>62-</w:t>
      </w:r>
      <w:r w:rsidRPr="00CD1D53">
        <w:rPr>
          <w:sz w:val="22"/>
          <w:szCs w:val="22"/>
        </w:rPr>
        <w:t>213, F.A.C.</w:t>
      </w:r>
    </w:p>
    <w:p w:rsidR="00F71458" w:rsidRDefault="00F71458" w:rsidP="00F71458">
      <w:pPr>
        <w:numPr>
          <w:ilvl w:val="0"/>
          <w:numId w:val="3"/>
        </w:numPr>
        <w:spacing w:after="120"/>
        <w:rPr>
          <w:sz w:val="22"/>
          <w:szCs w:val="22"/>
        </w:rPr>
      </w:pPr>
      <w:r w:rsidRPr="00CD1D53">
        <w:rPr>
          <w:sz w:val="22"/>
          <w:szCs w:val="22"/>
        </w:rPr>
        <w:t>The facility is a major stationary source in accordance with Rule 62-212.400, F.A.C. for the Prevention of</w:t>
      </w:r>
      <w:r>
        <w:rPr>
          <w:sz w:val="22"/>
          <w:szCs w:val="22"/>
        </w:rPr>
        <w:t xml:space="preserve"> Significant Deterioration (PSD) of Air Quality.</w:t>
      </w:r>
    </w:p>
    <w:p w:rsidR="00193F10" w:rsidRDefault="00193F10">
      <w:pPr>
        <w:pStyle w:val="BodyText2"/>
        <w:numPr>
          <w:ilvl w:val="0"/>
          <w:numId w:val="0"/>
        </w:numPr>
        <w:rPr>
          <w:b/>
          <w:bCs/>
        </w:rPr>
      </w:pPr>
      <w:r>
        <w:rPr>
          <w:b/>
          <w:bCs/>
        </w:rPr>
        <w:t>Project Description</w:t>
      </w:r>
    </w:p>
    <w:p w:rsidR="00193F10" w:rsidRPr="00782ABD" w:rsidRDefault="00623C2E">
      <w:pPr>
        <w:pStyle w:val="BodyText2"/>
        <w:numPr>
          <w:ilvl w:val="0"/>
          <w:numId w:val="0"/>
        </w:numPr>
      </w:pPr>
      <w:r>
        <w:rPr>
          <w:szCs w:val="22"/>
        </w:rPr>
        <w:t>The purpose of this revision is to clarify the testing requirements for gas and oil upon permit renewal and to clarify that testing on fuel oil for Units 1 to 5 is not required when operating on fuel oil less than 400 hours annually and to remove the mass emissions limits for NO</w:t>
      </w:r>
      <w:r w:rsidRPr="00217785">
        <w:rPr>
          <w:szCs w:val="22"/>
          <w:vertAlign w:val="subscript"/>
        </w:rPr>
        <w:t>X</w:t>
      </w:r>
      <w:r>
        <w:rPr>
          <w:szCs w:val="22"/>
        </w:rPr>
        <w:t xml:space="preserve"> from the requirements for Unit 5</w:t>
      </w:r>
      <w:r w:rsidRPr="000472DA">
        <w:rPr>
          <w:szCs w:val="22"/>
        </w:rPr>
        <w:t>.</w:t>
      </w:r>
      <w:r>
        <w:rPr>
          <w:szCs w:val="22"/>
        </w:rPr>
        <w:t xml:space="preserve">  These changes will require revisions to existing specific conditions in Permit No. 0090180-001-AC (PSD-FL-258) and Permit No. 0090180-003-AC (PSD-FL-377).</w:t>
      </w:r>
    </w:p>
    <w:p w:rsidR="001C4E37" w:rsidRDefault="001C4E37" w:rsidP="001C4E37">
      <w:pPr>
        <w:pStyle w:val="Heading9"/>
        <w:ind w:left="0"/>
        <w:rPr>
          <w:b/>
          <w:bCs/>
          <w:u w:val="none"/>
        </w:rPr>
      </w:pPr>
      <w:r>
        <w:rPr>
          <w:b/>
          <w:bCs/>
          <w:u w:val="none"/>
        </w:rPr>
        <w:t>Processing Schedule</w:t>
      </w:r>
    </w:p>
    <w:p w:rsidR="001C4E37" w:rsidRPr="00782ABD" w:rsidRDefault="00CD1D53" w:rsidP="00CD1D53">
      <w:pPr>
        <w:pStyle w:val="BodyText"/>
        <w:numPr>
          <w:ilvl w:val="12"/>
          <w:numId w:val="0"/>
        </w:numPr>
        <w:tabs>
          <w:tab w:val="left" w:pos="1260"/>
        </w:tabs>
        <w:spacing w:after="60"/>
        <w:rPr>
          <w:sz w:val="22"/>
        </w:rPr>
      </w:pPr>
      <w:r>
        <w:rPr>
          <w:sz w:val="22"/>
        </w:rPr>
        <w:t>4/9/2013</w:t>
      </w:r>
      <w:r w:rsidR="001C4E37" w:rsidRPr="00782ABD">
        <w:rPr>
          <w:sz w:val="22"/>
        </w:rPr>
        <w:tab/>
        <w:t>Received the application for a minor source air pollution construction permit.</w:t>
      </w:r>
    </w:p>
    <w:p w:rsidR="001C4E37" w:rsidRDefault="007D09FA" w:rsidP="00CD1D53">
      <w:pPr>
        <w:pStyle w:val="BodyText"/>
        <w:numPr>
          <w:ilvl w:val="12"/>
          <w:numId w:val="0"/>
        </w:numPr>
        <w:tabs>
          <w:tab w:val="left" w:pos="1260"/>
        </w:tabs>
        <w:rPr>
          <w:sz w:val="22"/>
        </w:rPr>
      </w:pPr>
      <w:r>
        <w:rPr>
          <w:sz w:val="22"/>
        </w:rPr>
        <w:t>4/9/2013</w:t>
      </w:r>
      <w:r w:rsidR="001C4E37" w:rsidRPr="00782ABD">
        <w:rPr>
          <w:sz w:val="22"/>
        </w:rPr>
        <w:tab/>
      </w:r>
      <w:r>
        <w:rPr>
          <w:sz w:val="22"/>
        </w:rPr>
        <w:t>A</w:t>
      </w:r>
      <w:r w:rsidR="001C4E37" w:rsidRPr="00782ABD">
        <w:rPr>
          <w:sz w:val="22"/>
        </w:rPr>
        <w:t>pplication</w:t>
      </w:r>
      <w:r>
        <w:rPr>
          <w:sz w:val="22"/>
        </w:rPr>
        <w:t xml:space="preserve"> is</w:t>
      </w:r>
      <w:r w:rsidR="001C4E37" w:rsidRPr="00782ABD">
        <w:rPr>
          <w:sz w:val="22"/>
        </w:rPr>
        <w:t xml:space="preserve"> complete.</w:t>
      </w:r>
    </w:p>
    <w:p w:rsidR="00193F10" w:rsidRDefault="00193F10" w:rsidP="004D1D9F">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4D1D9F">
      <w:pPr>
        <w:pStyle w:val="BodyText"/>
        <w:widowControl w:val="0"/>
        <w:rPr>
          <w:b/>
          <w:sz w:val="22"/>
        </w:rPr>
      </w:pPr>
      <w:r w:rsidRPr="00193F10">
        <w:rPr>
          <w:b/>
          <w:sz w:val="22"/>
        </w:rPr>
        <w:lastRenderedPageBreak/>
        <w:t xml:space="preserve">General </w:t>
      </w:r>
      <w:r>
        <w:rPr>
          <w:b/>
          <w:sz w:val="22"/>
        </w:rPr>
        <w:t xml:space="preserve">PSD </w:t>
      </w:r>
      <w:r w:rsidRPr="00193F10">
        <w:rPr>
          <w:b/>
          <w:sz w:val="22"/>
        </w:rPr>
        <w:t>Applicability</w:t>
      </w:r>
    </w:p>
    <w:p w:rsidR="004D1D9F" w:rsidRDefault="006B6EFE" w:rsidP="003F1AFB">
      <w:pPr>
        <w:pStyle w:val="BodyText"/>
        <w:widowControl w:val="0"/>
        <w:rPr>
          <w:sz w:val="22"/>
        </w:rPr>
      </w:pPr>
      <w:r>
        <w:rPr>
          <w:sz w:val="22"/>
        </w:rPr>
        <w:t>For areas currently in attainment with the AAQS or areas otherwise designated as unclassifiable, t</w:t>
      </w:r>
      <w:r w:rsidR="00D51D78">
        <w:rPr>
          <w:sz w:val="22"/>
        </w:rPr>
        <w:t>he Department regulates major stationary sources of air pollution in accordance with Florida’s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7D09FA">
        <w:rPr>
          <w:sz w:val="22"/>
          <w:szCs w:val="22"/>
        </w:rPr>
        <w:t>k</w:t>
      </w:r>
      <w:r w:rsidR="002F0E6E" w:rsidRPr="002A28C2">
        <w:rPr>
          <w:sz w:val="22"/>
          <w:szCs w:val="22"/>
        </w:rPr>
        <w:t>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sidR="001D1649">
        <w:rPr>
          <w:sz w:val="22"/>
          <w:szCs w:val="22"/>
        </w:rPr>
        <w:t>ic compounds (VOC); lead (Pb);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61B52">
        <w:rPr>
          <w:sz w:val="22"/>
        </w:rPr>
        <w:t xml:space="preserve">equals or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t>PSD Applicability for Project</w:t>
      </w:r>
    </w:p>
    <w:p w:rsidR="004335B6" w:rsidRPr="00C03139" w:rsidRDefault="004335B6" w:rsidP="004335B6">
      <w:pPr>
        <w:spacing w:after="120"/>
        <w:rPr>
          <w:sz w:val="22"/>
        </w:rPr>
      </w:pPr>
      <w:r w:rsidRPr="00C03139">
        <w:rPr>
          <w:sz w:val="22"/>
        </w:rPr>
        <w:t xml:space="preserve">There will be no change in currently permitted emissions limits for Units 1, 2, </w:t>
      </w:r>
      <w:r w:rsidR="00C03139" w:rsidRPr="00C03139">
        <w:rPr>
          <w:sz w:val="22"/>
        </w:rPr>
        <w:t xml:space="preserve">3, 4 </w:t>
      </w:r>
      <w:r w:rsidRPr="00C03139">
        <w:rPr>
          <w:sz w:val="22"/>
        </w:rPr>
        <w:t xml:space="preserve">and </w:t>
      </w:r>
      <w:r w:rsidR="00C03139" w:rsidRPr="00C03139">
        <w:rPr>
          <w:sz w:val="22"/>
        </w:rPr>
        <w:t>5</w:t>
      </w:r>
      <w:r w:rsidRPr="00C03139">
        <w:rPr>
          <w:sz w:val="22"/>
        </w:rPr>
        <w:t xml:space="preserve"> as a result of this </w:t>
      </w:r>
      <w:r w:rsidR="00C03139" w:rsidRPr="00C03139">
        <w:rPr>
          <w:sz w:val="22"/>
        </w:rPr>
        <w:t>project.</w:t>
      </w:r>
      <w:r w:rsidRPr="00C03139">
        <w:rPr>
          <w:sz w:val="22"/>
        </w:rPr>
        <w:t xml:space="preserve">  Therefore, PSD review will not apply.</w:t>
      </w:r>
    </w:p>
    <w:p w:rsidR="00686486" w:rsidRDefault="00686486" w:rsidP="004335B6">
      <w:pPr>
        <w:pStyle w:val="BodyText"/>
        <w:widowControl w:val="0"/>
        <w:jc w:val="both"/>
        <w:rPr>
          <w:sz w:val="22"/>
        </w:rPr>
      </w:pPr>
    </w:p>
    <w:p w:rsidR="00193F10" w:rsidRDefault="00193F10" w:rsidP="004D1D9F">
      <w:pPr>
        <w:widowControl w:val="0"/>
        <w:spacing w:before="120" w:after="120"/>
        <w:rPr>
          <w:b/>
          <w:caps/>
          <w:sz w:val="22"/>
        </w:rPr>
      </w:pPr>
      <w:r>
        <w:rPr>
          <w:b/>
          <w:caps/>
          <w:sz w:val="22"/>
        </w:rPr>
        <w:t xml:space="preserve">3.  </w:t>
      </w:r>
      <w:r w:rsidR="00617209">
        <w:rPr>
          <w:b/>
          <w:caps/>
          <w:sz w:val="22"/>
        </w:rPr>
        <w:t>Department review</w:t>
      </w:r>
    </w:p>
    <w:p w:rsidR="004335B6" w:rsidRPr="00C03139" w:rsidRDefault="00C03139" w:rsidP="00C03139">
      <w:pPr>
        <w:widowControl w:val="0"/>
        <w:autoSpaceDE w:val="0"/>
        <w:autoSpaceDN w:val="0"/>
        <w:adjustRightInd w:val="0"/>
        <w:spacing w:after="120"/>
        <w:rPr>
          <w:sz w:val="22"/>
          <w:szCs w:val="22"/>
        </w:rPr>
      </w:pPr>
      <w:r w:rsidRPr="00C03139">
        <w:rPr>
          <w:sz w:val="22"/>
          <w:szCs w:val="22"/>
        </w:rPr>
        <w:t xml:space="preserve">The purpose of this revision is to clarify the testing requirements for gas and oil upon permit renewal and to clarify that testing on fuel oil for Units 1 to </w:t>
      </w:r>
      <w:r>
        <w:rPr>
          <w:sz w:val="22"/>
          <w:szCs w:val="22"/>
        </w:rPr>
        <w:t>5</w:t>
      </w:r>
      <w:r w:rsidRPr="00C03139">
        <w:rPr>
          <w:sz w:val="22"/>
          <w:szCs w:val="22"/>
        </w:rPr>
        <w:t xml:space="preserve"> is not required when operating on fuel oil less than 400 hours </w:t>
      </w:r>
      <w:r w:rsidRPr="00C03139">
        <w:rPr>
          <w:sz w:val="22"/>
          <w:szCs w:val="22"/>
        </w:rPr>
        <w:lastRenderedPageBreak/>
        <w:t>annually.</w:t>
      </w:r>
      <w:r w:rsidR="004335B6" w:rsidRPr="00C03139">
        <w:rPr>
          <w:color w:val="C00000"/>
          <w:sz w:val="22"/>
          <w:szCs w:val="22"/>
        </w:rPr>
        <w:t xml:space="preserve">  </w:t>
      </w:r>
      <w:r w:rsidR="004335B6" w:rsidRPr="00C03139">
        <w:rPr>
          <w:sz w:val="22"/>
          <w:szCs w:val="22"/>
        </w:rPr>
        <w:t xml:space="preserve">These changes required revisions to the underlying PSD/air construction permit conditions, which are discussed below in this Technical Evaluation and Preliminary Determination.  </w:t>
      </w:r>
    </w:p>
    <w:p w:rsidR="004335B6" w:rsidRPr="00CC333E" w:rsidRDefault="004335B6" w:rsidP="004335B6">
      <w:pPr>
        <w:widowControl w:val="0"/>
        <w:autoSpaceDE w:val="0"/>
        <w:autoSpaceDN w:val="0"/>
        <w:adjustRightInd w:val="0"/>
        <w:spacing w:after="120"/>
        <w:rPr>
          <w:sz w:val="22"/>
          <w:szCs w:val="22"/>
        </w:rPr>
      </w:pPr>
    </w:p>
    <w:p w:rsidR="004335B6" w:rsidRPr="00762FA3" w:rsidRDefault="004335B6" w:rsidP="004335B6">
      <w:pPr>
        <w:numPr>
          <w:ilvl w:val="12"/>
          <w:numId w:val="0"/>
        </w:numPr>
        <w:rPr>
          <w:b/>
          <w:sz w:val="22"/>
          <w:szCs w:val="22"/>
        </w:rPr>
      </w:pPr>
      <w:r w:rsidRPr="00762FA3">
        <w:rPr>
          <w:b/>
          <w:sz w:val="22"/>
          <w:szCs w:val="22"/>
        </w:rPr>
        <w:t xml:space="preserve">Permit Being Modified:  </w:t>
      </w:r>
      <w:r w:rsidRPr="00762FA3">
        <w:rPr>
          <w:b/>
          <w:sz w:val="22"/>
          <w:szCs w:val="22"/>
        </w:rPr>
        <w:tab/>
      </w:r>
      <w:r w:rsidRPr="00762FA3">
        <w:rPr>
          <w:sz w:val="22"/>
        </w:rPr>
        <w:t>PSD-FL-</w:t>
      </w:r>
      <w:r w:rsidR="00762FA3" w:rsidRPr="00762FA3">
        <w:rPr>
          <w:sz w:val="22"/>
        </w:rPr>
        <w:t>258</w:t>
      </w:r>
    </w:p>
    <w:p w:rsidR="004335B6" w:rsidRPr="00C03139" w:rsidRDefault="004335B6" w:rsidP="004335B6">
      <w:pPr>
        <w:numPr>
          <w:ilvl w:val="12"/>
          <w:numId w:val="0"/>
        </w:numPr>
        <w:spacing w:after="120"/>
        <w:rPr>
          <w:sz w:val="22"/>
          <w:szCs w:val="22"/>
        </w:rPr>
      </w:pPr>
      <w:r w:rsidRPr="00C03139">
        <w:rPr>
          <w:b/>
          <w:sz w:val="22"/>
          <w:szCs w:val="22"/>
        </w:rPr>
        <w:t xml:space="preserve">Affected Emissions Units:  </w:t>
      </w:r>
      <w:r w:rsidRPr="00C03139">
        <w:rPr>
          <w:b/>
          <w:sz w:val="22"/>
          <w:szCs w:val="22"/>
        </w:rPr>
        <w:tab/>
      </w:r>
      <w:r w:rsidR="00C03139" w:rsidRPr="00C03139">
        <w:rPr>
          <w:sz w:val="22"/>
          <w:szCs w:val="22"/>
        </w:rPr>
        <w:t>Simple-Cycle Combustion Turbine-Electrical Generator (nominal 190 megawatt)</w:t>
      </w:r>
      <w:r w:rsidR="00C03139">
        <w:rPr>
          <w:sz w:val="22"/>
          <w:szCs w:val="22"/>
        </w:rPr>
        <w:t xml:space="preserve"> </w:t>
      </w:r>
      <w:r w:rsidRPr="00C03139">
        <w:rPr>
          <w:sz w:val="22"/>
          <w:szCs w:val="22"/>
        </w:rPr>
        <w:t>Nos. 1, 2</w:t>
      </w:r>
      <w:r w:rsidR="00C03139" w:rsidRPr="00C03139">
        <w:rPr>
          <w:sz w:val="22"/>
          <w:szCs w:val="22"/>
        </w:rPr>
        <w:t>,</w:t>
      </w:r>
      <w:r w:rsidR="00C03139">
        <w:rPr>
          <w:sz w:val="22"/>
          <w:szCs w:val="22"/>
        </w:rPr>
        <w:t xml:space="preserve"> </w:t>
      </w:r>
      <w:r w:rsidR="00C03139" w:rsidRPr="00C03139">
        <w:rPr>
          <w:sz w:val="22"/>
          <w:szCs w:val="22"/>
        </w:rPr>
        <w:t>3</w:t>
      </w:r>
      <w:r w:rsidRPr="00C03139">
        <w:rPr>
          <w:sz w:val="22"/>
          <w:szCs w:val="22"/>
        </w:rPr>
        <w:t xml:space="preserve"> and </w:t>
      </w:r>
      <w:r w:rsidR="00C03139" w:rsidRPr="00C03139">
        <w:rPr>
          <w:sz w:val="22"/>
          <w:szCs w:val="22"/>
        </w:rPr>
        <w:t>4</w:t>
      </w:r>
      <w:r w:rsidRPr="00C03139">
        <w:rPr>
          <w:sz w:val="22"/>
          <w:szCs w:val="22"/>
        </w:rPr>
        <w:t xml:space="preserve"> (E.U. ID Nos. 001, 002</w:t>
      </w:r>
      <w:r w:rsidR="00762FA3" w:rsidRPr="00C03139">
        <w:rPr>
          <w:sz w:val="22"/>
          <w:szCs w:val="22"/>
        </w:rPr>
        <w:t>, 003</w:t>
      </w:r>
      <w:r w:rsidRPr="00C03139">
        <w:rPr>
          <w:sz w:val="22"/>
          <w:szCs w:val="22"/>
        </w:rPr>
        <w:t xml:space="preserve"> &amp; 00</w:t>
      </w:r>
      <w:r w:rsidR="00762FA3" w:rsidRPr="00C03139">
        <w:rPr>
          <w:sz w:val="22"/>
          <w:szCs w:val="22"/>
        </w:rPr>
        <w:t>4</w:t>
      </w:r>
      <w:r w:rsidRPr="00C03139">
        <w:rPr>
          <w:sz w:val="22"/>
          <w:szCs w:val="22"/>
        </w:rPr>
        <w:t>)</w:t>
      </w:r>
    </w:p>
    <w:p w:rsidR="004335B6" w:rsidRPr="00762FA3" w:rsidRDefault="004335B6" w:rsidP="004335B6">
      <w:pPr>
        <w:widowControl w:val="0"/>
        <w:spacing w:after="120"/>
        <w:rPr>
          <w:sz w:val="22"/>
          <w:szCs w:val="22"/>
        </w:rPr>
      </w:pPr>
      <w:r w:rsidRPr="00762FA3">
        <w:rPr>
          <w:sz w:val="22"/>
          <w:szCs w:val="22"/>
        </w:rPr>
        <w:t xml:space="preserve">The “Specific Condition No.” cited below refers to the specific condition in </w:t>
      </w:r>
      <w:r w:rsidRPr="00762FA3">
        <w:rPr>
          <w:sz w:val="22"/>
        </w:rPr>
        <w:t>PSD-FL-</w:t>
      </w:r>
      <w:r w:rsidR="00762FA3" w:rsidRPr="00762FA3">
        <w:rPr>
          <w:sz w:val="22"/>
        </w:rPr>
        <w:t>258.</w:t>
      </w:r>
    </w:p>
    <w:p w:rsidR="004335B6" w:rsidRPr="00762FA3" w:rsidRDefault="004335B6" w:rsidP="004335B6">
      <w:pPr>
        <w:pStyle w:val="ListParagraph"/>
        <w:numPr>
          <w:ilvl w:val="0"/>
          <w:numId w:val="6"/>
        </w:numPr>
        <w:spacing w:after="120"/>
        <w:rPr>
          <w:sz w:val="22"/>
          <w:szCs w:val="22"/>
        </w:rPr>
      </w:pPr>
      <w:r w:rsidRPr="00762FA3">
        <w:rPr>
          <w:sz w:val="22"/>
          <w:szCs w:val="22"/>
          <w:u w:val="single"/>
        </w:rPr>
        <w:t>Applicant’s Requested Change</w:t>
      </w:r>
      <w:r w:rsidRPr="00762FA3">
        <w:rPr>
          <w:sz w:val="22"/>
          <w:szCs w:val="22"/>
        </w:rPr>
        <w:t>:</w:t>
      </w:r>
    </w:p>
    <w:p w:rsidR="00762FA3" w:rsidRDefault="00762FA3" w:rsidP="00762FA3">
      <w:pPr>
        <w:autoSpaceDE w:val="0"/>
        <w:autoSpaceDN w:val="0"/>
        <w:adjustRightInd w:val="0"/>
        <w:spacing w:after="120"/>
        <w:ind w:left="360"/>
        <w:rPr>
          <w:sz w:val="23"/>
          <w:szCs w:val="23"/>
        </w:rPr>
      </w:pPr>
      <w:r>
        <w:rPr>
          <w:sz w:val="23"/>
          <w:szCs w:val="23"/>
        </w:rPr>
        <w:t>29.  Initial (I) performance tests shall be performed on each unit while firing natural gas as well as while firing fuel oil.  Initial tests shall also be conducted after any modifications (and shake down period not to exceed 100 days after starting the CT) to air pollution control equipment, including low NO</w:t>
      </w:r>
      <w:r w:rsidRPr="00FC0415">
        <w:rPr>
          <w:sz w:val="23"/>
          <w:szCs w:val="23"/>
          <w:vertAlign w:val="subscript"/>
        </w:rPr>
        <w:t>X</w:t>
      </w:r>
      <w:r>
        <w:rPr>
          <w:sz w:val="23"/>
          <w:szCs w:val="23"/>
        </w:rPr>
        <w:t xml:space="preserve"> burners or Hot SCR.  Annual (A) compliance tests shall be performed during every federal fiscal year (October 1 - September 30) pursuant to Rule 62-297.310(7), F.A.C., on each unit as indicated.  The following reference methods shall be used. No other test methods may be used for compliance testing unless prior DEP approval is received in writing.</w:t>
      </w:r>
    </w:p>
    <w:p w:rsidR="00762FA3" w:rsidRDefault="00762FA3" w:rsidP="00762FA3">
      <w:pPr>
        <w:numPr>
          <w:ilvl w:val="0"/>
          <w:numId w:val="9"/>
        </w:numPr>
        <w:autoSpaceDE w:val="0"/>
        <w:autoSpaceDN w:val="0"/>
        <w:adjustRightInd w:val="0"/>
        <w:spacing w:after="120"/>
        <w:rPr>
          <w:sz w:val="23"/>
          <w:szCs w:val="23"/>
        </w:rPr>
      </w:pPr>
      <w:r>
        <w:rPr>
          <w:sz w:val="23"/>
          <w:szCs w:val="23"/>
        </w:rPr>
        <w:t xml:space="preserve">EPA Reference Method 9, "Visual Determination of the Opacity of Emissions from Stationary Sources" (I, A).  </w:t>
      </w:r>
      <w:r w:rsidRPr="002136EE">
        <w:rPr>
          <w:sz w:val="23"/>
          <w:szCs w:val="23"/>
          <w:highlight w:val="yellow"/>
          <w:u w:val="double"/>
        </w:rPr>
        <w:t>If normal operation on fuel oil is less than 400 hours per calendar year, then subsequent compliance testing (annual or renewal) on fuel oil is not required for that year.</w:t>
      </w:r>
    </w:p>
    <w:p w:rsidR="00762FA3" w:rsidRDefault="00762FA3" w:rsidP="00762FA3">
      <w:pPr>
        <w:numPr>
          <w:ilvl w:val="0"/>
          <w:numId w:val="9"/>
        </w:numPr>
        <w:autoSpaceDE w:val="0"/>
        <w:autoSpaceDN w:val="0"/>
        <w:adjustRightInd w:val="0"/>
        <w:spacing w:after="120"/>
        <w:rPr>
          <w:sz w:val="23"/>
          <w:szCs w:val="23"/>
        </w:rPr>
      </w:pPr>
      <w:r>
        <w:rPr>
          <w:sz w:val="23"/>
          <w:szCs w:val="23"/>
        </w:rPr>
        <w:t>EPA Reference Method 10, "Determination of Carbon Monoxide Emissions from Stationary Sources" (I, A).</w:t>
      </w:r>
    </w:p>
    <w:p w:rsidR="00762FA3" w:rsidRDefault="00762FA3" w:rsidP="00762FA3">
      <w:pPr>
        <w:numPr>
          <w:ilvl w:val="0"/>
          <w:numId w:val="9"/>
        </w:numPr>
        <w:autoSpaceDE w:val="0"/>
        <w:autoSpaceDN w:val="0"/>
        <w:adjustRightInd w:val="0"/>
        <w:spacing w:after="120"/>
        <w:rPr>
          <w:sz w:val="23"/>
          <w:szCs w:val="23"/>
        </w:rPr>
      </w:pPr>
      <w:r>
        <w:rPr>
          <w:sz w:val="23"/>
          <w:szCs w:val="23"/>
        </w:rPr>
        <w:t>EPA Reference Method 20, "Determination of Oxides of Nitrogen Oxide, Sulfur Dioxide and Diluent Emissions from Stationary Gas Turbines."  Initial test only for compliance with 40CFR60 Subpart GG and (I, A) short-term NO</w:t>
      </w:r>
      <w:r w:rsidRPr="00FC0415">
        <w:rPr>
          <w:sz w:val="23"/>
          <w:szCs w:val="23"/>
          <w:vertAlign w:val="subscript"/>
        </w:rPr>
        <w:t>X</w:t>
      </w:r>
      <w:r>
        <w:rPr>
          <w:sz w:val="23"/>
          <w:szCs w:val="23"/>
        </w:rPr>
        <w:t xml:space="preserve"> BACT limits (EPA reference Method 7E, "Determination of Nitrogen Oxides Emissions from Stationary Sources" or RATA test data may be used to demonstrate compliance for annual </w:t>
      </w:r>
      <w:r w:rsidRPr="002136EE">
        <w:rPr>
          <w:sz w:val="23"/>
          <w:szCs w:val="23"/>
          <w:highlight w:val="yellow"/>
          <w:u w:val="double"/>
        </w:rPr>
        <w:t>and renewal</w:t>
      </w:r>
      <w:r w:rsidRPr="002136EE">
        <w:rPr>
          <w:sz w:val="23"/>
          <w:szCs w:val="23"/>
        </w:rPr>
        <w:t xml:space="preserve"> </w:t>
      </w:r>
      <w:r>
        <w:rPr>
          <w:sz w:val="23"/>
          <w:szCs w:val="23"/>
        </w:rPr>
        <w:t>test requirement</w:t>
      </w:r>
      <w:r w:rsidRPr="002136EE">
        <w:rPr>
          <w:sz w:val="23"/>
          <w:szCs w:val="23"/>
          <w:highlight w:val="yellow"/>
          <w:u w:val="double"/>
        </w:rPr>
        <w:t>s</w:t>
      </w:r>
      <w:r>
        <w:rPr>
          <w:sz w:val="23"/>
          <w:szCs w:val="23"/>
        </w:rPr>
        <w:t xml:space="preserve">).  </w:t>
      </w:r>
      <w:r w:rsidRPr="00D90283">
        <w:rPr>
          <w:sz w:val="23"/>
          <w:szCs w:val="23"/>
          <w:highlight w:val="yellow"/>
          <w:u w:val="double"/>
        </w:rPr>
        <w:t>If normal operation on fuel</w:t>
      </w:r>
      <w:r w:rsidR="001358C6">
        <w:rPr>
          <w:sz w:val="23"/>
          <w:szCs w:val="23"/>
          <w:highlight w:val="yellow"/>
          <w:u w:val="double"/>
        </w:rPr>
        <w:t xml:space="preserve"> oil</w:t>
      </w:r>
      <w:r w:rsidRPr="00D90283">
        <w:rPr>
          <w:sz w:val="23"/>
          <w:szCs w:val="23"/>
          <w:highlight w:val="yellow"/>
          <w:u w:val="double"/>
        </w:rPr>
        <w:t xml:space="preserve"> is less than 400 </w:t>
      </w:r>
      <w:r w:rsidR="001B0D17">
        <w:rPr>
          <w:sz w:val="23"/>
          <w:szCs w:val="23"/>
          <w:highlight w:val="yellow"/>
          <w:u w:val="double"/>
        </w:rPr>
        <w:t xml:space="preserve">hours </w:t>
      </w:r>
      <w:r w:rsidRPr="00D90283">
        <w:rPr>
          <w:sz w:val="23"/>
          <w:szCs w:val="23"/>
          <w:highlight w:val="yellow"/>
          <w:u w:val="double"/>
        </w:rPr>
        <w:t>per calendar year, then subsequent compliance testing (annual or renewal) on fuel oil is not required for that year.  If data collected from the reference method during the required CEMS quality assurance RATA test are substituted for annual or renewal compliance tests for NO</w:t>
      </w:r>
      <w:r w:rsidRPr="00A60A4D">
        <w:rPr>
          <w:sz w:val="23"/>
          <w:szCs w:val="23"/>
          <w:highlight w:val="yellow"/>
          <w:u w:val="double"/>
          <w:vertAlign w:val="subscript"/>
        </w:rPr>
        <w:t>X</w:t>
      </w:r>
      <w:r w:rsidRPr="00D90283">
        <w:rPr>
          <w:sz w:val="23"/>
          <w:szCs w:val="23"/>
          <w:highlight w:val="yellow"/>
          <w:u w:val="double"/>
        </w:rPr>
        <w:t xml:space="preserve">, then no separate annual or renewal compliance testing </w:t>
      </w:r>
      <w:r>
        <w:rPr>
          <w:sz w:val="23"/>
          <w:szCs w:val="23"/>
          <w:highlight w:val="yellow"/>
          <w:u w:val="double"/>
        </w:rPr>
        <w:t xml:space="preserve">for the fuel fired while conducting the </w:t>
      </w:r>
      <w:r w:rsidRPr="00D90283">
        <w:rPr>
          <w:sz w:val="23"/>
          <w:szCs w:val="23"/>
          <w:highlight w:val="yellow"/>
          <w:u w:val="double"/>
        </w:rPr>
        <w:t>CEMS quality assurance RATA test shall be required.</w:t>
      </w:r>
    </w:p>
    <w:p w:rsidR="00762FA3" w:rsidRDefault="00762FA3" w:rsidP="00762FA3">
      <w:pPr>
        <w:numPr>
          <w:ilvl w:val="0"/>
          <w:numId w:val="9"/>
        </w:numPr>
        <w:autoSpaceDE w:val="0"/>
        <w:autoSpaceDN w:val="0"/>
        <w:adjustRightInd w:val="0"/>
        <w:spacing w:after="120"/>
        <w:rPr>
          <w:szCs w:val="22"/>
        </w:rPr>
      </w:pPr>
      <w:r>
        <w:rPr>
          <w:sz w:val="23"/>
          <w:szCs w:val="23"/>
        </w:rPr>
        <w:t>EPA Reference Method 18, and/or 25A, "Determination of Volatile Organic Concentrations."  Initial test only.  [</w:t>
      </w:r>
      <w:r w:rsidRPr="001C6418">
        <w:rPr>
          <w:sz w:val="22"/>
          <w:szCs w:val="22"/>
        </w:rPr>
        <w:t>Applicants Request</w:t>
      </w:r>
      <w:r>
        <w:rPr>
          <w:sz w:val="22"/>
          <w:szCs w:val="22"/>
        </w:rPr>
        <w:t>]</w:t>
      </w:r>
    </w:p>
    <w:p w:rsidR="004335B6" w:rsidRPr="00F1678F" w:rsidRDefault="004335B6" w:rsidP="004335B6">
      <w:pPr>
        <w:pStyle w:val="ListParagraph"/>
        <w:spacing w:after="120"/>
        <w:ind w:left="360"/>
        <w:rPr>
          <w:sz w:val="22"/>
          <w:szCs w:val="22"/>
          <w:u w:val="single"/>
        </w:rPr>
      </w:pPr>
    </w:p>
    <w:p w:rsidR="004335B6" w:rsidRPr="00F1678F" w:rsidRDefault="004335B6" w:rsidP="004335B6">
      <w:pPr>
        <w:pStyle w:val="ListParagraph"/>
        <w:spacing w:after="120"/>
        <w:ind w:left="360"/>
        <w:rPr>
          <w:sz w:val="22"/>
          <w:szCs w:val="22"/>
        </w:rPr>
      </w:pPr>
      <w:r w:rsidRPr="00F1678F">
        <w:rPr>
          <w:sz w:val="22"/>
          <w:szCs w:val="22"/>
          <w:u w:val="single"/>
        </w:rPr>
        <w:t>Department’s Response</w:t>
      </w:r>
      <w:r w:rsidRPr="00F1678F">
        <w:rPr>
          <w:sz w:val="22"/>
          <w:szCs w:val="22"/>
        </w:rPr>
        <w:t>:</w:t>
      </w:r>
    </w:p>
    <w:p w:rsidR="004335B6" w:rsidRPr="00762FA3" w:rsidRDefault="00762FA3" w:rsidP="001358C6">
      <w:pPr>
        <w:pStyle w:val="ListParagraph"/>
        <w:tabs>
          <w:tab w:val="left" w:pos="6637"/>
        </w:tabs>
        <w:spacing w:after="120"/>
        <w:rPr>
          <w:sz w:val="22"/>
          <w:szCs w:val="22"/>
        </w:rPr>
      </w:pPr>
      <w:r w:rsidRPr="00762FA3">
        <w:rPr>
          <w:sz w:val="22"/>
          <w:szCs w:val="22"/>
        </w:rPr>
        <w:t>The Department agrees to the requested change.</w:t>
      </w:r>
      <w:r w:rsidR="001358C6">
        <w:rPr>
          <w:sz w:val="22"/>
          <w:szCs w:val="22"/>
        </w:rPr>
        <w:tab/>
      </w:r>
    </w:p>
    <w:p w:rsidR="00762FA3" w:rsidRPr="00C03139" w:rsidRDefault="00762FA3" w:rsidP="004335B6">
      <w:pPr>
        <w:pStyle w:val="ListParagraph"/>
        <w:spacing w:after="120"/>
        <w:rPr>
          <w:sz w:val="22"/>
          <w:szCs w:val="22"/>
        </w:rPr>
      </w:pPr>
    </w:p>
    <w:p w:rsidR="00762FA3" w:rsidRPr="00C03139" w:rsidRDefault="00762FA3" w:rsidP="00762FA3">
      <w:pPr>
        <w:pStyle w:val="ListParagraph"/>
        <w:numPr>
          <w:ilvl w:val="0"/>
          <w:numId w:val="6"/>
        </w:numPr>
        <w:spacing w:after="120"/>
        <w:rPr>
          <w:sz w:val="22"/>
          <w:szCs w:val="22"/>
        </w:rPr>
      </w:pPr>
      <w:r w:rsidRPr="00C03139">
        <w:rPr>
          <w:sz w:val="22"/>
          <w:szCs w:val="22"/>
          <w:u w:val="single"/>
        </w:rPr>
        <w:t>Applicant’s Requested Change</w:t>
      </w:r>
      <w:r w:rsidRPr="00C03139">
        <w:rPr>
          <w:sz w:val="22"/>
          <w:szCs w:val="22"/>
        </w:rPr>
        <w:t>:</w:t>
      </w:r>
    </w:p>
    <w:p w:rsidR="00762FA3" w:rsidRDefault="00F1678F" w:rsidP="00762FA3">
      <w:pPr>
        <w:autoSpaceDE w:val="0"/>
        <w:autoSpaceDN w:val="0"/>
        <w:adjustRightInd w:val="0"/>
        <w:spacing w:after="120"/>
        <w:ind w:left="360"/>
        <w:rPr>
          <w:szCs w:val="22"/>
        </w:rPr>
      </w:pPr>
      <w:r>
        <w:rPr>
          <w:sz w:val="23"/>
          <w:szCs w:val="23"/>
        </w:rPr>
        <w:t>32</w:t>
      </w:r>
      <w:r w:rsidR="00762FA3">
        <w:rPr>
          <w:sz w:val="23"/>
          <w:szCs w:val="23"/>
        </w:rPr>
        <w:t xml:space="preserve">.  </w:t>
      </w:r>
      <w:r w:rsidR="00762FA3" w:rsidRPr="00EE2431">
        <w:rPr>
          <w:sz w:val="23"/>
          <w:szCs w:val="23"/>
          <w:u w:val="single"/>
        </w:rPr>
        <w:t>Compliance with CO emission limit</w:t>
      </w:r>
      <w:r w:rsidR="00762FA3">
        <w:rPr>
          <w:sz w:val="23"/>
          <w:szCs w:val="23"/>
        </w:rPr>
        <w:t>:  An initial test for CO shall be conducted concurrently with the initial NO</w:t>
      </w:r>
      <w:r w:rsidR="00762FA3" w:rsidRPr="00EE2431">
        <w:rPr>
          <w:sz w:val="23"/>
          <w:szCs w:val="23"/>
          <w:vertAlign w:val="subscript"/>
        </w:rPr>
        <w:t>X</w:t>
      </w:r>
      <w:r w:rsidR="00762FA3">
        <w:rPr>
          <w:sz w:val="23"/>
          <w:szCs w:val="23"/>
        </w:rPr>
        <w:t xml:space="preserve"> test, as required. The initial NO</w:t>
      </w:r>
      <w:r w:rsidR="00762FA3" w:rsidRPr="00EE2431">
        <w:rPr>
          <w:sz w:val="23"/>
          <w:szCs w:val="23"/>
          <w:vertAlign w:val="subscript"/>
        </w:rPr>
        <w:t>X</w:t>
      </w:r>
      <w:r w:rsidR="00762FA3">
        <w:rPr>
          <w:sz w:val="23"/>
          <w:szCs w:val="23"/>
        </w:rPr>
        <w:t xml:space="preserve"> and CO test results shall be the average of three valid one-hour runs. Annual compliance testing for CO may be conducted concurrent with the annual RATA testing for NO</w:t>
      </w:r>
      <w:r w:rsidR="00762FA3" w:rsidRPr="00EE2431">
        <w:rPr>
          <w:sz w:val="23"/>
          <w:szCs w:val="23"/>
          <w:vertAlign w:val="subscript"/>
        </w:rPr>
        <w:t>X</w:t>
      </w:r>
      <w:r w:rsidR="00762FA3">
        <w:rPr>
          <w:sz w:val="23"/>
          <w:szCs w:val="23"/>
        </w:rPr>
        <w:t xml:space="preserve"> required pursuant to 40 CFR 75 </w:t>
      </w:r>
      <w:r w:rsidR="00762FA3" w:rsidRPr="00A60A4D">
        <w:rPr>
          <w:sz w:val="23"/>
          <w:szCs w:val="23"/>
          <w:highlight w:val="yellow"/>
          <w:u w:val="double"/>
        </w:rPr>
        <w:t>and is</w:t>
      </w:r>
      <w:r w:rsidR="00762FA3" w:rsidRPr="00A60A4D">
        <w:rPr>
          <w:sz w:val="23"/>
          <w:szCs w:val="23"/>
          <w:highlight w:val="yellow"/>
        </w:rPr>
        <w:t xml:space="preserve"> </w:t>
      </w:r>
      <w:r w:rsidR="00762FA3" w:rsidRPr="00A60A4D">
        <w:rPr>
          <w:strike/>
          <w:sz w:val="23"/>
          <w:szCs w:val="23"/>
          <w:highlight w:val="yellow"/>
        </w:rPr>
        <w:t>(</w:t>
      </w:r>
      <w:r w:rsidR="00762FA3">
        <w:rPr>
          <w:sz w:val="23"/>
          <w:szCs w:val="23"/>
        </w:rPr>
        <w:t>required for gas only</w:t>
      </w:r>
      <w:r w:rsidR="00762FA3" w:rsidRPr="00A60A4D">
        <w:rPr>
          <w:strike/>
          <w:sz w:val="23"/>
          <w:szCs w:val="23"/>
          <w:highlight w:val="yellow"/>
        </w:rPr>
        <w:t>)</w:t>
      </w:r>
      <w:r w:rsidR="00762FA3" w:rsidRPr="00A60A4D">
        <w:rPr>
          <w:sz w:val="23"/>
          <w:szCs w:val="23"/>
          <w:highlight w:val="yellow"/>
        </w:rPr>
        <w:t xml:space="preserve">.  </w:t>
      </w:r>
      <w:r w:rsidR="00762FA3" w:rsidRPr="00A60A4D">
        <w:rPr>
          <w:sz w:val="23"/>
          <w:szCs w:val="23"/>
          <w:highlight w:val="yellow"/>
          <w:u w:val="double"/>
        </w:rPr>
        <w:t>Such annual compliance test may be used for CO renewal test requirements, and is required for gas only.</w:t>
      </w:r>
      <w:r w:rsidR="00762FA3">
        <w:rPr>
          <w:sz w:val="23"/>
          <w:szCs w:val="23"/>
        </w:rPr>
        <w:t xml:space="preserve">  [</w:t>
      </w:r>
      <w:r w:rsidR="00762FA3" w:rsidRPr="001C6418">
        <w:rPr>
          <w:sz w:val="22"/>
          <w:szCs w:val="22"/>
        </w:rPr>
        <w:t>Applicants Request</w:t>
      </w:r>
      <w:r w:rsidR="00762FA3">
        <w:rPr>
          <w:sz w:val="22"/>
          <w:szCs w:val="22"/>
        </w:rPr>
        <w:t>]</w:t>
      </w:r>
    </w:p>
    <w:p w:rsidR="00762FA3" w:rsidRPr="00F1678F" w:rsidRDefault="00762FA3" w:rsidP="00762FA3">
      <w:pPr>
        <w:autoSpaceDE w:val="0"/>
        <w:autoSpaceDN w:val="0"/>
        <w:adjustRightInd w:val="0"/>
        <w:spacing w:after="120"/>
        <w:ind w:left="360"/>
        <w:rPr>
          <w:sz w:val="22"/>
          <w:szCs w:val="22"/>
          <w:u w:val="single"/>
        </w:rPr>
      </w:pPr>
    </w:p>
    <w:p w:rsidR="00762FA3" w:rsidRPr="00F1678F" w:rsidRDefault="00762FA3" w:rsidP="00762FA3">
      <w:pPr>
        <w:pStyle w:val="ListParagraph"/>
        <w:spacing w:after="120"/>
        <w:ind w:left="360"/>
        <w:rPr>
          <w:sz w:val="22"/>
          <w:szCs w:val="22"/>
        </w:rPr>
      </w:pPr>
      <w:r w:rsidRPr="00F1678F">
        <w:rPr>
          <w:sz w:val="22"/>
          <w:szCs w:val="22"/>
          <w:u w:val="single"/>
        </w:rPr>
        <w:lastRenderedPageBreak/>
        <w:t>Department’s Response</w:t>
      </w:r>
      <w:r w:rsidRPr="00F1678F">
        <w:rPr>
          <w:sz w:val="22"/>
          <w:szCs w:val="22"/>
        </w:rPr>
        <w:t>:</w:t>
      </w:r>
    </w:p>
    <w:p w:rsidR="00762FA3" w:rsidRPr="00F1678F" w:rsidRDefault="00762FA3" w:rsidP="00762FA3">
      <w:pPr>
        <w:pStyle w:val="ListParagraph"/>
        <w:spacing w:after="120"/>
        <w:rPr>
          <w:sz w:val="22"/>
          <w:szCs w:val="22"/>
        </w:rPr>
      </w:pPr>
      <w:r w:rsidRPr="00F1678F">
        <w:rPr>
          <w:sz w:val="22"/>
          <w:szCs w:val="22"/>
        </w:rPr>
        <w:t>The Department agrees to the requested change.</w:t>
      </w:r>
    </w:p>
    <w:p w:rsidR="00762FA3" w:rsidRPr="00F1678F" w:rsidRDefault="00762FA3" w:rsidP="00762FA3">
      <w:pPr>
        <w:pStyle w:val="ListParagraph"/>
        <w:spacing w:after="120"/>
        <w:rPr>
          <w:sz w:val="22"/>
          <w:szCs w:val="22"/>
        </w:rPr>
      </w:pPr>
    </w:p>
    <w:p w:rsidR="00762FA3" w:rsidRPr="00F1678F" w:rsidRDefault="00762FA3" w:rsidP="00762FA3">
      <w:pPr>
        <w:pStyle w:val="ListParagraph"/>
        <w:numPr>
          <w:ilvl w:val="0"/>
          <w:numId w:val="6"/>
        </w:numPr>
        <w:spacing w:after="120"/>
        <w:rPr>
          <w:sz w:val="22"/>
          <w:szCs w:val="22"/>
        </w:rPr>
      </w:pPr>
      <w:r w:rsidRPr="00F1678F">
        <w:rPr>
          <w:sz w:val="22"/>
          <w:szCs w:val="22"/>
          <w:u w:val="single"/>
        </w:rPr>
        <w:t>Applicant’s Requested Change</w:t>
      </w:r>
      <w:r w:rsidRPr="00F1678F">
        <w:rPr>
          <w:sz w:val="22"/>
          <w:szCs w:val="22"/>
        </w:rPr>
        <w:t>:</w:t>
      </w:r>
    </w:p>
    <w:p w:rsidR="00F1678F" w:rsidRPr="00F1678F" w:rsidRDefault="00F1678F" w:rsidP="00F1678F">
      <w:pPr>
        <w:autoSpaceDE w:val="0"/>
        <w:autoSpaceDN w:val="0"/>
        <w:adjustRightInd w:val="0"/>
        <w:spacing w:after="120"/>
        <w:ind w:left="360"/>
        <w:rPr>
          <w:szCs w:val="22"/>
        </w:rPr>
      </w:pPr>
      <w:r w:rsidRPr="00F1678F">
        <w:rPr>
          <w:sz w:val="23"/>
          <w:szCs w:val="23"/>
        </w:rPr>
        <w:t>33</w:t>
      </w:r>
      <w:r w:rsidR="00762FA3" w:rsidRPr="00F1678F">
        <w:rPr>
          <w:sz w:val="23"/>
          <w:szCs w:val="23"/>
        </w:rPr>
        <w:t xml:space="preserve">.  </w:t>
      </w:r>
      <w:r w:rsidRPr="00F1678F">
        <w:rPr>
          <w:sz w:val="23"/>
          <w:szCs w:val="23"/>
        </w:rPr>
        <w:t xml:space="preserve">Compliance with the VOC emission limit:  An initial test is required to demonstrate compliance with the BACT VOC emission limit. Thereafter, CO emission limit will be employed as surrogate and no annual </w:t>
      </w:r>
      <w:r w:rsidRPr="00F1678F">
        <w:rPr>
          <w:sz w:val="23"/>
          <w:szCs w:val="23"/>
          <w:highlight w:val="yellow"/>
          <w:u w:val="double"/>
        </w:rPr>
        <w:t>or renewal</w:t>
      </w:r>
      <w:r w:rsidRPr="00F1678F">
        <w:rPr>
          <w:sz w:val="23"/>
          <w:szCs w:val="23"/>
        </w:rPr>
        <w:t xml:space="preserve"> testing is required.  [</w:t>
      </w:r>
      <w:r w:rsidRPr="00F1678F">
        <w:rPr>
          <w:sz w:val="22"/>
          <w:szCs w:val="22"/>
        </w:rPr>
        <w:t>Applicants Request]</w:t>
      </w:r>
    </w:p>
    <w:p w:rsidR="00762FA3" w:rsidRPr="00F1678F" w:rsidRDefault="00762FA3" w:rsidP="00F1678F">
      <w:pPr>
        <w:autoSpaceDE w:val="0"/>
        <w:autoSpaceDN w:val="0"/>
        <w:adjustRightInd w:val="0"/>
        <w:spacing w:after="120"/>
        <w:ind w:left="360"/>
        <w:rPr>
          <w:sz w:val="22"/>
          <w:szCs w:val="22"/>
          <w:u w:val="single"/>
        </w:rPr>
      </w:pPr>
    </w:p>
    <w:p w:rsidR="00762FA3" w:rsidRPr="00F1678F" w:rsidRDefault="00762FA3" w:rsidP="00762FA3">
      <w:pPr>
        <w:pStyle w:val="ListParagraph"/>
        <w:spacing w:after="120"/>
        <w:ind w:left="360"/>
        <w:rPr>
          <w:sz w:val="22"/>
          <w:szCs w:val="22"/>
        </w:rPr>
      </w:pPr>
      <w:r w:rsidRPr="00F1678F">
        <w:rPr>
          <w:sz w:val="22"/>
          <w:szCs w:val="22"/>
          <w:u w:val="single"/>
        </w:rPr>
        <w:t>Department’s Response</w:t>
      </w:r>
      <w:r w:rsidRPr="00F1678F">
        <w:rPr>
          <w:sz w:val="22"/>
          <w:szCs w:val="22"/>
        </w:rPr>
        <w:t>:</w:t>
      </w:r>
    </w:p>
    <w:p w:rsidR="00762FA3" w:rsidRPr="00F1678F" w:rsidRDefault="00762FA3" w:rsidP="00762FA3">
      <w:pPr>
        <w:pStyle w:val="ListParagraph"/>
        <w:spacing w:after="120"/>
        <w:rPr>
          <w:sz w:val="22"/>
          <w:szCs w:val="22"/>
        </w:rPr>
      </w:pPr>
      <w:r w:rsidRPr="00F1678F">
        <w:rPr>
          <w:sz w:val="22"/>
          <w:szCs w:val="22"/>
        </w:rPr>
        <w:t>The Department agrees to the requested change.</w:t>
      </w:r>
    </w:p>
    <w:p w:rsidR="00F1678F" w:rsidRPr="00C03139" w:rsidRDefault="00F1678F" w:rsidP="00F1678F">
      <w:pPr>
        <w:widowControl w:val="0"/>
        <w:autoSpaceDE w:val="0"/>
        <w:autoSpaceDN w:val="0"/>
        <w:adjustRightInd w:val="0"/>
        <w:spacing w:after="120"/>
        <w:rPr>
          <w:sz w:val="22"/>
          <w:szCs w:val="22"/>
        </w:rPr>
      </w:pPr>
    </w:p>
    <w:p w:rsidR="00F1678F" w:rsidRPr="00762FA3" w:rsidRDefault="00F1678F" w:rsidP="00F1678F">
      <w:pPr>
        <w:numPr>
          <w:ilvl w:val="12"/>
          <w:numId w:val="0"/>
        </w:numPr>
        <w:rPr>
          <w:b/>
          <w:sz w:val="22"/>
          <w:szCs w:val="22"/>
        </w:rPr>
      </w:pPr>
      <w:r w:rsidRPr="00762FA3">
        <w:rPr>
          <w:b/>
          <w:sz w:val="22"/>
          <w:szCs w:val="22"/>
        </w:rPr>
        <w:t xml:space="preserve">Permit Being Modified:  </w:t>
      </w:r>
      <w:r w:rsidRPr="00762FA3">
        <w:rPr>
          <w:b/>
          <w:sz w:val="22"/>
          <w:szCs w:val="22"/>
        </w:rPr>
        <w:tab/>
      </w:r>
      <w:r w:rsidRPr="00762FA3">
        <w:rPr>
          <w:sz w:val="22"/>
        </w:rPr>
        <w:t>PSD-FL-</w:t>
      </w:r>
      <w:r>
        <w:rPr>
          <w:sz w:val="22"/>
        </w:rPr>
        <w:t>377</w:t>
      </w:r>
    </w:p>
    <w:p w:rsidR="00F1678F" w:rsidRPr="00C03139" w:rsidRDefault="00F1678F" w:rsidP="00F1678F">
      <w:pPr>
        <w:numPr>
          <w:ilvl w:val="12"/>
          <w:numId w:val="0"/>
        </w:numPr>
        <w:spacing w:after="120"/>
        <w:rPr>
          <w:sz w:val="22"/>
          <w:szCs w:val="22"/>
        </w:rPr>
      </w:pPr>
      <w:r w:rsidRPr="00C03139">
        <w:rPr>
          <w:b/>
          <w:sz w:val="22"/>
          <w:szCs w:val="22"/>
        </w:rPr>
        <w:t xml:space="preserve">Affected Emissions Unit:  </w:t>
      </w:r>
      <w:r w:rsidRPr="00C03139">
        <w:rPr>
          <w:b/>
          <w:sz w:val="22"/>
          <w:szCs w:val="22"/>
        </w:rPr>
        <w:tab/>
      </w:r>
      <w:r w:rsidR="00C03139" w:rsidRPr="00C03139">
        <w:rPr>
          <w:sz w:val="22"/>
          <w:szCs w:val="22"/>
        </w:rPr>
        <w:t>Simple-Cycle Combustion Turbine-Electrical Generator (nominal 190 megawatt)</w:t>
      </w:r>
      <w:r w:rsidRPr="00C03139">
        <w:rPr>
          <w:sz w:val="22"/>
          <w:szCs w:val="22"/>
        </w:rPr>
        <w:t xml:space="preserve"> (E.U. ID Nos. 005)</w:t>
      </w:r>
    </w:p>
    <w:p w:rsidR="00F1678F" w:rsidRPr="00762FA3" w:rsidRDefault="00F1678F" w:rsidP="00F1678F">
      <w:pPr>
        <w:widowControl w:val="0"/>
        <w:spacing w:after="120"/>
        <w:rPr>
          <w:sz w:val="22"/>
          <w:szCs w:val="22"/>
        </w:rPr>
      </w:pPr>
      <w:r w:rsidRPr="00762FA3">
        <w:rPr>
          <w:sz w:val="22"/>
          <w:szCs w:val="22"/>
        </w:rPr>
        <w:t xml:space="preserve">The “Specific Condition No.” cited below refers to the specific condition in </w:t>
      </w:r>
      <w:r w:rsidRPr="00762FA3">
        <w:rPr>
          <w:sz w:val="22"/>
        </w:rPr>
        <w:t>PSD-FL-</w:t>
      </w:r>
      <w:r>
        <w:rPr>
          <w:sz w:val="22"/>
        </w:rPr>
        <w:t>377</w:t>
      </w:r>
      <w:r w:rsidRPr="00762FA3">
        <w:rPr>
          <w:sz w:val="22"/>
        </w:rPr>
        <w:t>.</w:t>
      </w:r>
    </w:p>
    <w:p w:rsidR="00F1678F" w:rsidRPr="00762FA3" w:rsidRDefault="00F1678F" w:rsidP="00F1678F">
      <w:pPr>
        <w:pStyle w:val="ListParagraph"/>
        <w:numPr>
          <w:ilvl w:val="0"/>
          <w:numId w:val="6"/>
        </w:numPr>
        <w:spacing w:after="120"/>
        <w:rPr>
          <w:sz w:val="22"/>
          <w:szCs w:val="22"/>
        </w:rPr>
      </w:pPr>
      <w:r w:rsidRPr="00762FA3">
        <w:rPr>
          <w:sz w:val="22"/>
          <w:szCs w:val="22"/>
          <w:u w:val="single"/>
        </w:rPr>
        <w:t>Applicant’s Requested Change</w:t>
      </w:r>
      <w:r w:rsidRPr="00762FA3">
        <w:rPr>
          <w:sz w:val="22"/>
          <w:szCs w:val="22"/>
        </w:rPr>
        <w:t>:</w:t>
      </w:r>
    </w:p>
    <w:p w:rsidR="00623C2E" w:rsidRPr="00F36372" w:rsidRDefault="00F1678F" w:rsidP="00623C2E">
      <w:pPr>
        <w:spacing w:after="120"/>
        <w:ind w:left="360"/>
        <w:rPr>
          <w:sz w:val="22"/>
          <w:szCs w:val="22"/>
        </w:rPr>
      </w:pPr>
      <w:r>
        <w:rPr>
          <w:sz w:val="23"/>
          <w:szCs w:val="23"/>
        </w:rPr>
        <w:t xml:space="preserve">10.  </w:t>
      </w:r>
      <w:r w:rsidR="00623C2E" w:rsidRPr="00E42CD1">
        <w:rPr>
          <w:color w:val="000000"/>
          <w:sz w:val="22"/>
          <w:szCs w:val="22"/>
          <w:u w:val="single"/>
        </w:rPr>
        <w:t>Emission Standards</w:t>
      </w:r>
      <w:bookmarkStart w:id="0" w:name="EmissionStandards"/>
      <w:bookmarkEnd w:id="0"/>
      <w:r w:rsidR="00623C2E" w:rsidRPr="003450C0">
        <w:rPr>
          <w:color w:val="000000"/>
          <w:sz w:val="22"/>
          <w:szCs w:val="22"/>
        </w:rPr>
        <w:t xml:space="preserve">:  </w:t>
      </w:r>
      <w:r w:rsidR="00623C2E" w:rsidRPr="003450C0">
        <w:rPr>
          <w:caps/>
          <w:color w:val="000000"/>
          <w:sz w:val="22"/>
          <w:szCs w:val="22"/>
        </w:rPr>
        <w:t>E</w:t>
      </w:r>
      <w:r w:rsidR="00623C2E" w:rsidRPr="003450C0">
        <w:rPr>
          <w:color w:val="000000"/>
          <w:sz w:val="22"/>
          <w:szCs w:val="22"/>
        </w:rPr>
        <w:t xml:space="preserve">missions from the </w:t>
      </w:r>
      <w:r w:rsidR="00623C2E">
        <w:rPr>
          <w:color w:val="000000"/>
          <w:sz w:val="22"/>
          <w:szCs w:val="22"/>
        </w:rPr>
        <w:t xml:space="preserve">combustion </w:t>
      </w:r>
      <w:r w:rsidR="00623C2E" w:rsidRPr="003450C0">
        <w:rPr>
          <w:color w:val="000000"/>
          <w:sz w:val="22"/>
          <w:szCs w:val="22"/>
        </w:rPr>
        <w:t>turbine</w:t>
      </w:r>
      <w:r w:rsidR="00623C2E">
        <w:rPr>
          <w:color w:val="000000"/>
          <w:sz w:val="22"/>
          <w:szCs w:val="22"/>
        </w:rPr>
        <w:t xml:space="preserve"> </w:t>
      </w:r>
      <w:r w:rsidR="00623C2E" w:rsidRPr="003450C0">
        <w:rPr>
          <w:color w:val="000000"/>
          <w:sz w:val="22"/>
          <w:szCs w:val="22"/>
        </w:rPr>
        <w:t>shall not exceed the following standards.</w:t>
      </w:r>
    </w:p>
    <w:tbl>
      <w:tblPr>
        <w:tblW w:w="9427"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0"/>
        <w:gridCol w:w="2603"/>
        <w:gridCol w:w="1807"/>
        <w:gridCol w:w="2430"/>
        <w:gridCol w:w="1417"/>
      </w:tblGrid>
      <w:tr w:rsidR="00623C2E" w:rsidRPr="00891809" w:rsidTr="006843CA">
        <w:trPr>
          <w:trHeight w:val="381"/>
        </w:trPr>
        <w:tc>
          <w:tcPr>
            <w:tcW w:w="1170" w:type="dxa"/>
            <w:vAlign w:val="center"/>
          </w:tcPr>
          <w:p w:rsidR="00623C2E" w:rsidRPr="001131A4" w:rsidRDefault="00623C2E" w:rsidP="006843CA">
            <w:pPr>
              <w:spacing w:before="60" w:after="60"/>
              <w:jc w:val="center"/>
              <w:rPr>
                <w:b/>
                <w:sz w:val="22"/>
                <w:szCs w:val="22"/>
              </w:rPr>
            </w:pPr>
            <w:r w:rsidRPr="001131A4">
              <w:rPr>
                <w:sz w:val="22"/>
                <w:szCs w:val="22"/>
              </w:rPr>
              <w:br w:type="page"/>
            </w:r>
            <w:r w:rsidRPr="001131A4">
              <w:rPr>
                <w:b/>
                <w:sz w:val="22"/>
                <w:szCs w:val="22"/>
              </w:rPr>
              <w:t>Pollutant</w:t>
            </w:r>
          </w:p>
        </w:tc>
        <w:tc>
          <w:tcPr>
            <w:tcW w:w="2603" w:type="dxa"/>
            <w:tcBorders>
              <w:bottom w:val="single" w:sz="6" w:space="0" w:color="auto"/>
            </w:tcBorders>
            <w:vAlign w:val="center"/>
          </w:tcPr>
          <w:p w:rsidR="00623C2E" w:rsidRPr="00A0025A" w:rsidRDefault="00623C2E" w:rsidP="006843CA">
            <w:pPr>
              <w:spacing w:before="60" w:after="60"/>
              <w:jc w:val="center"/>
              <w:rPr>
                <w:b/>
                <w:sz w:val="22"/>
                <w:szCs w:val="22"/>
                <w:vertAlign w:val="superscript"/>
              </w:rPr>
            </w:pPr>
            <w:r w:rsidRPr="001131A4">
              <w:rPr>
                <w:b/>
                <w:sz w:val="22"/>
                <w:szCs w:val="22"/>
              </w:rPr>
              <w:t>Emission Standard</w:t>
            </w:r>
            <w:r w:rsidRPr="000071A9">
              <w:rPr>
                <w:b/>
                <w:sz w:val="22"/>
                <w:szCs w:val="22"/>
                <w:vertAlign w:val="superscript"/>
              </w:rPr>
              <w:t xml:space="preserve"> </w:t>
            </w:r>
            <w:r w:rsidRPr="00E11B8E">
              <w:rPr>
                <w:b/>
                <w:sz w:val="28"/>
                <w:szCs w:val="28"/>
                <w:vertAlign w:val="superscript"/>
              </w:rPr>
              <w:t>c</w:t>
            </w:r>
          </w:p>
        </w:tc>
        <w:tc>
          <w:tcPr>
            <w:tcW w:w="1807" w:type="dxa"/>
            <w:tcBorders>
              <w:bottom w:val="single" w:sz="6" w:space="0" w:color="auto"/>
            </w:tcBorders>
            <w:vAlign w:val="center"/>
          </w:tcPr>
          <w:p w:rsidR="00623C2E" w:rsidRPr="001131A4" w:rsidRDefault="00623C2E" w:rsidP="006843CA">
            <w:pPr>
              <w:spacing w:before="60" w:after="60"/>
              <w:jc w:val="center"/>
              <w:rPr>
                <w:b/>
                <w:sz w:val="22"/>
                <w:szCs w:val="22"/>
              </w:rPr>
            </w:pPr>
            <w:r w:rsidRPr="001131A4">
              <w:rPr>
                <w:b/>
                <w:sz w:val="22"/>
                <w:szCs w:val="22"/>
              </w:rPr>
              <w:t>Averaging Time</w:t>
            </w:r>
          </w:p>
        </w:tc>
        <w:tc>
          <w:tcPr>
            <w:tcW w:w="2430" w:type="dxa"/>
            <w:tcBorders>
              <w:bottom w:val="single" w:sz="6" w:space="0" w:color="auto"/>
            </w:tcBorders>
            <w:shd w:val="clear" w:color="auto" w:fill="auto"/>
            <w:vAlign w:val="center"/>
          </w:tcPr>
          <w:p w:rsidR="00623C2E" w:rsidRPr="001131A4" w:rsidRDefault="00623C2E" w:rsidP="006843CA">
            <w:pPr>
              <w:pStyle w:val="EndnoteText"/>
              <w:tabs>
                <w:tab w:val="decimal" w:pos="-18"/>
              </w:tabs>
              <w:spacing w:before="60" w:after="60"/>
              <w:jc w:val="center"/>
              <w:rPr>
                <w:b/>
                <w:sz w:val="22"/>
                <w:szCs w:val="22"/>
              </w:rPr>
            </w:pPr>
            <w:r w:rsidRPr="001131A4">
              <w:rPr>
                <w:b/>
                <w:sz w:val="22"/>
                <w:szCs w:val="22"/>
              </w:rPr>
              <w:t>Compliance Method</w:t>
            </w:r>
          </w:p>
        </w:tc>
        <w:tc>
          <w:tcPr>
            <w:tcW w:w="1417" w:type="dxa"/>
            <w:vAlign w:val="center"/>
          </w:tcPr>
          <w:p w:rsidR="00623C2E" w:rsidRPr="001131A4" w:rsidRDefault="00623C2E" w:rsidP="006843CA">
            <w:pPr>
              <w:pStyle w:val="EndnoteText"/>
              <w:tabs>
                <w:tab w:val="decimal" w:pos="-18"/>
              </w:tabs>
              <w:spacing w:before="60" w:after="60"/>
              <w:jc w:val="center"/>
              <w:rPr>
                <w:b/>
                <w:sz w:val="22"/>
                <w:szCs w:val="22"/>
              </w:rPr>
            </w:pPr>
            <w:r w:rsidRPr="001131A4">
              <w:rPr>
                <w:b/>
                <w:sz w:val="22"/>
                <w:szCs w:val="22"/>
              </w:rPr>
              <w:t>Basis</w:t>
            </w:r>
          </w:p>
        </w:tc>
      </w:tr>
      <w:tr w:rsidR="00623C2E" w:rsidRPr="00891809" w:rsidTr="006843CA">
        <w:trPr>
          <w:trHeight w:val="188"/>
        </w:trPr>
        <w:tc>
          <w:tcPr>
            <w:tcW w:w="1170" w:type="dxa"/>
            <w:vMerge w:val="restart"/>
            <w:vAlign w:val="center"/>
          </w:tcPr>
          <w:p w:rsidR="00623C2E" w:rsidRPr="007546F0" w:rsidRDefault="00623C2E" w:rsidP="006843CA">
            <w:pPr>
              <w:spacing w:before="60" w:after="60"/>
              <w:jc w:val="center"/>
              <w:rPr>
                <w:sz w:val="22"/>
                <w:szCs w:val="22"/>
              </w:rPr>
            </w:pPr>
            <w:r w:rsidRPr="001131A4">
              <w:rPr>
                <w:sz w:val="22"/>
                <w:szCs w:val="22"/>
              </w:rPr>
              <w:t>NO</w:t>
            </w:r>
            <w:r w:rsidRPr="001131A4">
              <w:rPr>
                <w:sz w:val="22"/>
                <w:szCs w:val="22"/>
                <w:vertAlign w:val="subscript"/>
              </w:rPr>
              <w:t>X</w:t>
            </w:r>
            <w:r>
              <w:rPr>
                <w:sz w:val="22"/>
                <w:szCs w:val="22"/>
              </w:rPr>
              <w:t xml:space="preserve"> (Gas)</w:t>
            </w:r>
          </w:p>
        </w:tc>
        <w:tc>
          <w:tcPr>
            <w:tcW w:w="2603" w:type="dxa"/>
            <w:tcBorders>
              <w:bottom w:val="single" w:sz="6" w:space="0" w:color="auto"/>
            </w:tcBorders>
          </w:tcPr>
          <w:p w:rsidR="00623C2E" w:rsidRPr="001131A4" w:rsidRDefault="00623C2E" w:rsidP="006843CA">
            <w:pPr>
              <w:tabs>
                <w:tab w:val="decimal" w:pos="-18"/>
              </w:tabs>
              <w:spacing w:before="60" w:after="60"/>
              <w:jc w:val="center"/>
              <w:rPr>
                <w:sz w:val="22"/>
                <w:szCs w:val="22"/>
              </w:rPr>
            </w:pPr>
            <w:r w:rsidRPr="001131A4">
              <w:rPr>
                <w:sz w:val="22"/>
                <w:szCs w:val="22"/>
              </w:rPr>
              <w:t>9.0 ppmvd @ 15% O</w:t>
            </w:r>
            <w:r w:rsidRPr="001131A4">
              <w:rPr>
                <w:sz w:val="22"/>
                <w:szCs w:val="22"/>
                <w:vertAlign w:val="subscript"/>
              </w:rPr>
              <w:t>2</w:t>
            </w:r>
          </w:p>
        </w:tc>
        <w:tc>
          <w:tcPr>
            <w:tcW w:w="1807" w:type="dxa"/>
            <w:tcBorders>
              <w:bottom w:val="single" w:sz="6" w:space="0" w:color="auto"/>
            </w:tcBorders>
            <w:shd w:val="clear" w:color="auto" w:fill="auto"/>
          </w:tcPr>
          <w:p w:rsidR="00623C2E" w:rsidRPr="001131A4" w:rsidRDefault="00623C2E" w:rsidP="006843CA">
            <w:pPr>
              <w:tabs>
                <w:tab w:val="decimal" w:pos="-18"/>
              </w:tabs>
              <w:spacing w:before="60" w:after="60"/>
              <w:jc w:val="center"/>
              <w:rPr>
                <w:sz w:val="22"/>
                <w:szCs w:val="22"/>
              </w:rPr>
            </w:pPr>
            <w:r w:rsidRPr="001131A4">
              <w:rPr>
                <w:sz w:val="22"/>
                <w:szCs w:val="22"/>
              </w:rPr>
              <w:t>24-hr</w:t>
            </w:r>
            <w:r>
              <w:rPr>
                <w:sz w:val="22"/>
                <w:szCs w:val="22"/>
              </w:rPr>
              <w:t xml:space="preserve"> rolling</w:t>
            </w:r>
          </w:p>
        </w:tc>
        <w:tc>
          <w:tcPr>
            <w:tcW w:w="2430" w:type="dxa"/>
            <w:tcBorders>
              <w:bottom w:val="single" w:sz="6" w:space="0" w:color="auto"/>
            </w:tcBorders>
            <w:shd w:val="clear" w:color="auto" w:fill="auto"/>
          </w:tcPr>
          <w:p w:rsidR="00623C2E" w:rsidRPr="001131A4" w:rsidRDefault="00623C2E" w:rsidP="006843CA">
            <w:pPr>
              <w:pStyle w:val="EndnoteText"/>
              <w:tabs>
                <w:tab w:val="decimal" w:pos="-18"/>
              </w:tabs>
              <w:spacing w:before="60" w:after="60"/>
              <w:jc w:val="center"/>
              <w:rPr>
                <w:sz w:val="22"/>
                <w:szCs w:val="22"/>
              </w:rPr>
            </w:pPr>
            <w:r w:rsidRPr="001131A4">
              <w:rPr>
                <w:sz w:val="22"/>
                <w:szCs w:val="22"/>
              </w:rPr>
              <w:t>CEMS</w:t>
            </w:r>
          </w:p>
        </w:tc>
        <w:tc>
          <w:tcPr>
            <w:tcW w:w="1417" w:type="dxa"/>
            <w:vMerge w:val="restart"/>
            <w:vAlign w:val="center"/>
          </w:tcPr>
          <w:p w:rsidR="00623C2E" w:rsidRPr="001131A4" w:rsidRDefault="00623C2E" w:rsidP="006843CA">
            <w:pPr>
              <w:spacing w:before="60" w:after="60"/>
              <w:jc w:val="center"/>
              <w:rPr>
                <w:sz w:val="22"/>
                <w:szCs w:val="22"/>
              </w:rPr>
            </w:pPr>
            <w:r w:rsidRPr="001131A4">
              <w:rPr>
                <w:sz w:val="22"/>
                <w:szCs w:val="22"/>
              </w:rPr>
              <w:t>BACT</w:t>
            </w:r>
          </w:p>
        </w:tc>
      </w:tr>
      <w:tr w:rsidR="00623C2E" w:rsidRPr="00891809" w:rsidTr="006843CA">
        <w:trPr>
          <w:trHeight w:val="187"/>
        </w:trPr>
        <w:tc>
          <w:tcPr>
            <w:tcW w:w="1170" w:type="dxa"/>
            <w:vMerge/>
            <w:vAlign w:val="center"/>
          </w:tcPr>
          <w:p w:rsidR="00623C2E" w:rsidRPr="001131A4" w:rsidRDefault="00623C2E" w:rsidP="006843CA">
            <w:pPr>
              <w:spacing w:before="60" w:after="60"/>
              <w:jc w:val="center"/>
              <w:rPr>
                <w:sz w:val="22"/>
                <w:szCs w:val="22"/>
              </w:rPr>
            </w:pPr>
          </w:p>
        </w:tc>
        <w:tc>
          <w:tcPr>
            <w:tcW w:w="2603" w:type="dxa"/>
            <w:tcBorders>
              <w:top w:val="single" w:sz="6" w:space="0" w:color="auto"/>
              <w:bottom w:val="single" w:sz="6" w:space="0" w:color="auto"/>
            </w:tcBorders>
          </w:tcPr>
          <w:p w:rsidR="00623C2E" w:rsidRPr="00A60A4D" w:rsidRDefault="00623C2E" w:rsidP="006843CA">
            <w:pPr>
              <w:tabs>
                <w:tab w:val="decimal" w:pos="-18"/>
              </w:tabs>
              <w:spacing w:before="60" w:after="60"/>
              <w:jc w:val="center"/>
              <w:rPr>
                <w:sz w:val="22"/>
                <w:szCs w:val="22"/>
                <w:highlight w:val="yellow"/>
              </w:rPr>
            </w:pPr>
            <w:r w:rsidRPr="00A60A4D">
              <w:rPr>
                <w:strike/>
                <w:sz w:val="22"/>
                <w:szCs w:val="22"/>
                <w:highlight w:val="yellow"/>
              </w:rPr>
              <w:t>62.5 lb/hr</w:t>
            </w:r>
            <w:r w:rsidR="00E11B8E">
              <w:rPr>
                <w:strike/>
                <w:sz w:val="22"/>
                <w:szCs w:val="22"/>
                <w:highlight w:val="yellow"/>
              </w:rPr>
              <w:t xml:space="preserve"> </w:t>
            </w:r>
            <w:r w:rsidR="00E11B8E" w:rsidRPr="00E11B8E">
              <w:rPr>
                <w:sz w:val="22"/>
                <w:szCs w:val="22"/>
                <w:highlight w:val="yellow"/>
                <w:u w:val="double"/>
              </w:rPr>
              <w:t>9.0 ppmvd @ 15% O</w:t>
            </w:r>
            <w:r w:rsidR="00E11B8E" w:rsidRPr="00E11B8E">
              <w:rPr>
                <w:sz w:val="22"/>
                <w:szCs w:val="22"/>
                <w:highlight w:val="yellow"/>
                <w:u w:val="double"/>
                <w:vertAlign w:val="subscript"/>
              </w:rPr>
              <w:t>2</w:t>
            </w:r>
          </w:p>
        </w:tc>
        <w:tc>
          <w:tcPr>
            <w:tcW w:w="1807" w:type="dxa"/>
            <w:tcBorders>
              <w:top w:val="single" w:sz="6" w:space="0" w:color="auto"/>
              <w:bottom w:val="single" w:sz="6" w:space="0" w:color="auto"/>
            </w:tcBorders>
            <w:shd w:val="clear" w:color="auto" w:fill="auto"/>
          </w:tcPr>
          <w:p w:rsidR="00623C2E" w:rsidRPr="00E11B8E" w:rsidRDefault="00623C2E" w:rsidP="006843CA">
            <w:pPr>
              <w:tabs>
                <w:tab w:val="decimal" w:pos="-18"/>
              </w:tabs>
              <w:spacing w:before="60" w:after="60"/>
              <w:jc w:val="center"/>
              <w:rPr>
                <w:sz w:val="22"/>
                <w:szCs w:val="22"/>
              </w:rPr>
            </w:pPr>
            <w:r w:rsidRPr="00E11B8E">
              <w:rPr>
                <w:sz w:val="22"/>
                <w:szCs w:val="22"/>
              </w:rPr>
              <w:t>3 1-hr runs</w:t>
            </w:r>
          </w:p>
        </w:tc>
        <w:tc>
          <w:tcPr>
            <w:tcW w:w="2430" w:type="dxa"/>
            <w:tcBorders>
              <w:top w:val="single" w:sz="6" w:space="0" w:color="auto"/>
              <w:bottom w:val="single" w:sz="6" w:space="0" w:color="auto"/>
            </w:tcBorders>
            <w:shd w:val="clear" w:color="auto" w:fill="auto"/>
          </w:tcPr>
          <w:p w:rsidR="00623C2E" w:rsidRPr="00E11B8E" w:rsidRDefault="00623C2E" w:rsidP="006843CA">
            <w:pPr>
              <w:pStyle w:val="EndnoteText"/>
              <w:tabs>
                <w:tab w:val="decimal" w:pos="-18"/>
              </w:tabs>
              <w:spacing w:before="60" w:after="60"/>
              <w:jc w:val="center"/>
              <w:rPr>
                <w:sz w:val="22"/>
                <w:szCs w:val="22"/>
              </w:rPr>
            </w:pPr>
            <w:r w:rsidRPr="00E11B8E">
              <w:rPr>
                <w:sz w:val="22"/>
                <w:szCs w:val="22"/>
              </w:rPr>
              <w:t>Stack Test</w:t>
            </w:r>
          </w:p>
        </w:tc>
        <w:tc>
          <w:tcPr>
            <w:tcW w:w="1417" w:type="dxa"/>
            <w:vMerge/>
            <w:vAlign w:val="center"/>
          </w:tcPr>
          <w:p w:rsidR="00623C2E" w:rsidRPr="001131A4" w:rsidRDefault="00623C2E" w:rsidP="006843CA">
            <w:pPr>
              <w:pStyle w:val="EndnoteText"/>
              <w:tabs>
                <w:tab w:val="decimal" w:pos="-18"/>
              </w:tabs>
              <w:spacing w:before="60" w:after="60"/>
              <w:jc w:val="center"/>
              <w:rPr>
                <w:b/>
                <w:sz w:val="22"/>
                <w:szCs w:val="22"/>
              </w:rPr>
            </w:pPr>
          </w:p>
        </w:tc>
      </w:tr>
      <w:tr w:rsidR="00623C2E" w:rsidRPr="00891809" w:rsidTr="006843CA">
        <w:trPr>
          <w:trHeight w:val="188"/>
        </w:trPr>
        <w:tc>
          <w:tcPr>
            <w:tcW w:w="1170" w:type="dxa"/>
            <w:vMerge w:val="restart"/>
            <w:vAlign w:val="center"/>
          </w:tcPr>
          <w:p w:rsidR="00623C2E" w:rsidRPr="007546F0" w:rsidRDefault="00623C2E" w:rsidP="006843CA">
            <w:pPr>
              <w:spacing w:before="60" w:after="60"/>
              <w:jc w:val="center"/>
              <w:rPr>
                <w:sz w:val="22"/>
                <w:szCs w:val="22"/>
              </w:rPr>
            </w:pPr>
            <w:r w:rsidRPr="001131A4">
              <w:rPr>
                <w:sz w:val="22"/>
                <w:szCs w:val="22"/>
              </w:rPr>
              <w:t>NO</w:t>
            </w:r>
            <w:r w:rsidRPr="001131A4">
              <w:rPr>
                <w:sz w:val="22"/>
                <w:szCs w:val="22"/>
                <w:vertAlign w:val="subscript"/>
              </w:rPr>
              <w:t>X</w:t>
            </w:r>
            <w:r>
              <w:rPr>
                <w:sz w:val="22"/>
                <w:szCs w:val="22"/>
              </w:rPr>
              <w:t xml:space="preserve"> </w:t>
            </w:r>
            <w:r>
              <w:rPr>
                <w:sz w:val="22"/>
                <w:szCs w:val="22"/>
              </w:rPr>
              <w:br/>
              <w:t>(Oil)</w:t>
            </w:r>
          </w:p>
        </w:tc>
        <w:tc>
          <w:tcPr>
            <w:tcW w:w="2603" w:type="dxa"/>
            <w:tcBorders>
              <w:bottom w:val="single" w:sz="6" w:space="0" w:color="auto"/>
            </w:tcBorders>
          </w:tcPr>
          <w:p w:rsidR="00623C2E" w:rsidRPr="001131A4" w:rsidRDefault="00623C2E" w:rsidP="006843CA">
            <w:pPr>
              <w:tabs>
                <w:tab w:val="decimal" w:pos="-18"/>
              </w:tabs>
              <w:spacing w:before="60" w:after="60"/>
              <w:jc w:val="center"/>
              <w:rPr>
                <w:sz w:val="22"/>
                <w:szCs w:val="22"/>
              </w:rPr>
            </w:pPr>
            <w:r>
              <w:rPr>
                <w:sz w:val="22"/>
                <w:szCs w:val="22"/>
              </w:rPr>
              <w:t>42.0</w:t>
            </w:r>
            <w:r w:rsidRPr="001131A4">
              <w:rPr>
                <w:sz w:val="22"/>
                <w:szCs w:val="22"/>
              </w:rPr>
              <w:t xml:space="preserve"> ppmvd @ 15% O</w:t>
            </w:r>
            <w:r w:rsidRPr="001131A4">
              <w:rPr>
                <w:sz w:val="22"/>
                <w:szCs w:val="22"/>
                <w:vertAlign w:val="subscript"/>
              </w:rPr>
              <w:t>2</w:t>
            </w:r>
          </w:p>
        </w:tc>
        <w:tc>
          <w:tcPr>
            <w:tcW w:w="1807" w:type="dxa"/>
            <w:tcBorders>
              <w:bottom w:val="single" w:sz="6" w:space="0" w:color="auto"/>
            </w:tcBorders>
          </w:tcPr>
          <w:p w:rsidR="00623C2E" w:rsidRPr="001131A4" w:rsidRDefault="00623C2E" w:rsidP="006843CA">
            <w:pPr>
              <w:tabs>
                <w:tab w:val="decimal" w:pos="-18"/>
              </w:tabs>
              <w:spacing w:before="60" w:after="60"/>
              <w:jc w:val="center"/>
              <w:rPr>
                <w:sz w:val="22"/>
                <w:szCs w:val="22"/>
              </w:rPr>
            </w:pPr>
            <w:r>
              <w:rPr>
                <w:sz w:val="22"/>
                <w:szCs w:val="22"/>
              </w:rPr>
              <w:t>4</w:t>
            </w:r>
            <w:r w:rsidRPr="001131A4">
              <w:rPr>
                <w:sz w:val="22"/>
                <w:szCs w:val="22"/>
              </w:rPr>
              <w:t>-hr</w:t>
            </w:r>
            <w:r>
              <w:rPr>
                <w:sz w:val="22"/>
                <w:szCs w:val="22"/>
              </w:rPr>
              <w:t xml:space="preserve"> rolling</w:t>
            </w:r>
          </w:p>
        </w:tc>
        <w:tc>
          <w:tcPr>
            <w:tcW w:w="2430" w:type="dxa"/>
            <w:tcBorders>
              <w:bottom w:val="single" w:sz="6" w:space="0" w:color="auto"/>
            </w:tcBorders>
          </w:tcPr>
          <w:p w:rsidR="00623C2E" w:rsidRPr="003178A6" w:rsidRDefault="00623C2E" w:rsidP="006843CA">
            <w:pPr>
              <w:pStyle w:val="EndnoteText"/>
              <w:tabs>
                <w:tab w:val="decimal" w:pos="-18"/>
              </w:tabs>
              <w:spacing w:before="60" w:after="60"/>
              <w:jc w:val="center"/>
              <w:rPr>
                <w:sz w:val="22"/>
                <w:szCs w:val="22"/>
              </w:rPr>
            </w:pPr>
            <w:r w:rsidRPr="003178A6">
              <w:rPr>
                <w:sz w:val="22"/>
                <w:szCs w:val="22"/>
              </w:rPr>
              <w:t>CEMS</w:t>
            </w:r>
          </w:p>
        </w:tc>
        <w:tc>
          <w:tcPr>
            <w:tcW w:w="1417" w:type="dxa"/>
            <w:vMerge w:val="restart"/>
            <w:vAlign w:val="center"/>
          </w:tcPr>
          <w:p w:rsidR="00623C2E" w:rsidRPr="00F178E9" w:rsidRDefault="00623C2E" w:rsidP="006843CA">
            <w:pPr>
              <w:pStyle w:val="EndnoteText"/>
              <w:tabs>
                <w:tab w:val="decimal" w:pos="-18"/>
              </w:tabs>
              <w:spacing w:before="60" w:after="60"/>
              <w:jc w:val="center"/>
              <w:rPr>
                <w:sz w:val="22"/>
                <w:szCs w:val="22"/>
              </w:rPr>
            </w:pPr>
            <w:r w:rsidRPr="00F178E9">
              <w:rPr>
                <w:sz w:val="22"/>
                <w:szCs w:val="22"/>
              </w:rPr>
              <w:t>NSPS</w:t>
            </w:r>
          </w:p>
        </w:tc>
      </w:tr>
      <w:tr w:rsidR="00623C2E" w:rsidRPr="00891809" w:rsidTr="006843CA">
        <w:trPr>
          <w:trHeight w:val="188"/>
        </w:trPr>
        <w:tc>
          <w:tcPr>
            <w:tcW w:w="1170" w:type="dxa"/>
            <w:vMerge/>
            <w:vAlign w:val="center"/>
          </w:tcPr>
          <w:p w:rsidR="00623C2E" w:rsidRPr="001131A4" w:rsidRDefault="00623C2E" w:rsidP="006843CA">
            <w:pPr>
              <w:spacing w:before="60" w:after="60"/>
              <w:jc w:val="center"/>
              <w:rPr>
                <w:sz w:val="22"/>
                <w:szCs w:val="22"/>
              </w:rPr>
            </w:pPr>
          </w:p>
        </w:tc>
        <w:tc>
          <w:tcPr>
            <w:tcW w:w="2603" w:type="dxa"/>
            <w:tcBorders>
              <w:bottom w:val="single" w:sz="6" w:space="0" w:color="auto"/>
            </w:tcBorders>
          </w:tcPr>
          <w:p w:rsidR="00623C2E" w:rsidRPr="00E11B8E" w:rsidRDefault="00623C2E" w:rsidP="006843CA">
            <w:pPr>
              <w:pStyle w:val="EndnoteText"/>
              <w:tabs>
                <w:tab w:val="decimal" w:pos="-18"/>
              </w:tabs>
              <w:spacing w:before="60" w:after="60"/>
              <w:jc w:val="center"/>
              <w:rPr>
                <w:color w:val="000000"/>
                <w:sz w:val="22"/>
                <w:szCs w:val="22"/>
              </w:rPr>
            </w:pPr>
            <w:r w:rsidRPr="00E11B8E">
              <w:rPr>
                <w:sz w:val="22"/>
                <w:szCs w:val="22"/>
              </w:rPr>
              <w:t>336.8 lb/hr</w:t>
            </w:r>
          </w:p>
        </w:tc>
        <w:tc>
          <w:tcPr>
            <w:tcW w:w="1807" w:type="dxa"/>
            <w:tcBorders>
              <w:bottom w:val="single" w:sz="6" w:space="0" w:color="auto"/>
            </w:tcBorders>
          </w:tcPr>
          <w:p w:rsidR="00623C2E" w:rsidRPr="00E11B8E" w:rsidRDefault="00623C2E" w:rsidP="006843CA">
            <w:pPr>
              <w:pStyle w:val="EndnoteText"/>
              <w:tabs>
                <w:tab w:val="decimal" w:pos="-18"/>
              </w:tabs>
              <w:spacing w:before="60" w:after="60"/>
              <w:jc w:val="center"/>
              <w:rPr>
                <w:sz w:val="22"/>
                <w:szCs w:val="22"/>
              </w:rPr>
            </w:pPr>
            <w:r w:rsidRPr="00E11B8E">
              <w:rPr>
                <w:sz w:val="22"/>
                <w:szCs w:val="22"/>
              </w:rPr>
              <w:t>3 1-hr runs</w:t>
            </w:r>
          </w:p>
        </w:tc>
        <w:tc>
          <w:tcPr>
            <w:tcW w:w="2430" w:type="dxa"/>
            <w:tcBorders>
              <w:bottom w:val="single" w:sz="6" w:space="0" w:color="auto"/>
            </w:tcBorders>
          </w:tcPr>
          <w:p w:rsidR="00623C2E" w:rsidRPr="00E11B8E" w:rsidRDefault="00623C2E" w:rsidP="006843CA">
            <w:pPr>
              <w:pStyle w:val="Caption"/>
              <w:tabs>
                <w:tab w:val="decimal" w:pos="-18"/>
              </w:tabs>
              <w:spacing w:before="60" w:after="60"/>
              <w:jc w:val="center"/>
              <w:rPr>
                <w:b w:val="0"/>
                <w:caps w:val="0"/>
                <w:szCs w:val="22"/>
              </w:rPr>
            </w:pPr>
            <w:r w:rsidRPr="00E11B8E">
              <w:rPr>
                <w:b w:val="0"/>
                <w:szCs w:val="22"/>
              </w:rPr>
              <w:t>S</w:t>
            </w:r>
            <w:r w:rsidRPr="00E11B8E">
              <w:rPr>
                <w:b w:val="0"/>
                <w:caps w:val="0"/>
                <w:szCs w:val="22"/>
              </w:rPr>
              <w:t>tack Test</w:t>
            </w:r>
          </w:p>
        </w:tc>
        <w:tc>
          <w:tcPr>
            <w:tcW w:w="1417" w:type="dxa"/>
            <w:vMerge/>
            <w:vAlign w:val="center"/>
          </w:tcPr>
          <w:p w:rsidR="00623C2E" w:rsidRPr="003178A6" w:rsidRDefault="00623C2E" w:rsidP="006843CA">
            <w:pPr>
              <w:pStyle w:val="EndnoteText"/>
              <w:tabs>
                <w:tab w:val="decimal" w:pos="-18"/>
              </w:tabs>
              <w:spacing w:before="60" w:after="60"/>
              <w:jc w:val="center"/>
              <w:rPr>
                <w:sz w:val="22"/>
                <w:szCs w:val="22"/>
              </w:rPr>
            </w:pPr>
          </w:p>
        </w:tc>
      </w:tr>
      <w:tr w:rsidR="00623C2E" w:rsidRPr="00891809" w:rsidTr="006843CA">
        <w:trPr>
          <w:trHeight w:val="188"/>
        </w:trPr>
        <w:tc>
          <w:tcPr>
            <w:tcW w:w="1170" w:type="dxa"/>
            <w:vMerge w:val="restart"/>
            <w:vAlign w:val="center"/>
          </w:tcPr>
          <w:p w:rsidR="00623C2E" w:rsidRPr="00763D27" w:rsidRDefault="00623C2E" w:rsidP="006843CA">
            <w:pPr>
              <w:spacing w:before="60" w:after="60"/>
              <w:jc w:val="center"/>
              <w:rPr>
                <w:sz w:val="22"/>
                <w:szCs w:val="22"/>
                <w:vertAlign w:val="superscript"/>
              </w:rPr>
            </w:pPr>
            <w:r w:rsidRPr="001131A4">
              <w:rPr>
                <w:sz w:val="22"/>
                <w:szCs w:val="22"/>
              </w:rPr>
              <w:t>PM/PM</w:t>
            </w:r>
            <w:r w:rsidRPr="001131A4">
              <w:rPr>
                <w:sz w:val="22"/>
                <w:szCs w:val="22"/>
                <w:vertAlign w:val="subscript"/>
              </w:rPr>
              <w:t>10</w:t>
            </w:r>
            <w:r w:rsidRPr="005C5A54">
              <w:rPr>
                <w:sz w:val="28"/>
                <w:szCs w:val="28"/>
                <w:vertAlign w:val="superscript"/>
              </w:rPr>
              <w:t>a</w:t>
            </w:r>
          </w:p>
        </w:tc>
        <w:tc>
          <w:tcPr>
            <w:tcW w:w="2603" w:type="dxa"/>
            <w:tcBorders>
              <w:bottom w:val="single" w:sz="6" w:space="0" w:color="auto"/>
            </w:tcBorders>
          </w:tcPr>
          <w:p w:rsidR="00623C2E" w:rsidRPr="001131A4" w:rsidRDefault="00623C2E" w:rsidP="006843CA">
            <w:pPr>
              <w:pStyle w:val="EndnoteText"/>
              <w:tabs>
                <w:tab w:val="decimal" w:pos="-18"/>
              </w:tabs>
              <w:spacing w:before="60" w:after="60"/>
              <w:jc w:val="center"/>
              <w:rPr>
                <w:sz w:val="22"/>
                <w:szCs w:val="22"/>
              </w:rPr>
            </w:pPr>
            <w:r>
              <w:rPr>
                <w:color w:val="000000"/>
                <w:sz w:val="22"/>
                <w:szCs w:val="22"/>
              </w:rPr>
              <w:t>10 % Opacity</w:t>
            </w:r>
          </w:p>
        </w:tc>
        <w:tc>
          <w:tcPr>
            <w:tcW w:w="1807" w:type="dxa"/>
            <w:tcBorders>
              <w:bottom w:val="single" w:sz="6" w:space="0" w:color="auto"/>
            </w:tcBorders>
          </w:tcPr>
          <w:p w:rsidR="00623C2E" w:rsidRPr="001131A4" w:rsidRDefault="00623C2E" w:rsidP="006843CA">
            <w:pPr>
              <w:pStyle w:val="EndnoteText"/>
              <w:tabs>
                <w:tab w:val="decimal" w:pos="-18"/>
              </w:tabs>
              <w:spacing w:before="60" w:after="60"/>
              <w:jc w:val="center"/>
              <w:rPr>
                <w:sz w:val="22"/>
                <w:szCs w:val="22"/>
              </w:rPr>
            </w:pPr>
            <w:r>
              <w:rPr>
                <w:sz w:val="22"/>
                <w:szCs w:val="22"/>
              </w:rPr>
              <w:t>6-minute block</w:t>
            </w:r>
          </w:p>
        </w:tc>
        <w:tc>
          <w:tcPr>
            <w:tcW w:w="2430" w:type="dxa"/>
            <w:tcBorders>
              <w:bottom w:val="single" w:sz="6" w:space="0" w:color="auto"/>
            </w:tcBorders>
          </w:tcPr>
          <w:p w:rsidR="00623C2E" w:rsidRPr="001131A4" w:rsidRDefault="00623C2E" w:rsidP="006843CA">
            <w:pPr>
              <w:pStyle w:val="Caption"/>
              <w:tabs>
                <w:tab w:val="decimal" w:pos="-18"/>
              </w:tabs>
              <w:spacing w:before="60" w:after="60"/>
              <w:jc w:val="center"/>
              <w:rPr>
                <w:b w:val="0"/>
                <w:caps w:val="0"/>
                <w:szCs w:val="22"/>
              </w:rPr>
            </w:pPr>
            <w:r>
              <w:rPr>
                <w:b w:val="0"/>
                <w:caps w:val="0"/>
                <w:szCs w:val="22"/>
              </w:rPr>
              <w:t>Visible Emissions Test</w:t>
            </w:r>
          </w:p>
        </w:tc>
        <w:tc>
          <w:tcPr>
            <w:tcW w:w="1417" w:type="dxa"/>
            <w:vMerge w:val="restart"/>
            <w:vAlign w:val="center"/>
          </w:tcPr>
          <w:p w:rsidR="00623C2E" w:rsidRPr="001131A4" w:rsidRDefault="00623C2E" w:rsidP="006843CA">
            <w:pPr>
              <w:pStyle w:val="EndnoteText"/>
              <w:tabs>
                <w:tab w:val="decimal" w:pos="-18"/>
              </w:tabs>
              <w:spacing w:before="60" w:after="60"/>
              <w:jc w:val="center"/>
              <w:rPr>
                <w:sz w:val="22"/>
                <w:szCs w:val="22"/>
              </w:rPr>
            </w:pPr>
            <w:r w:rsidRPr="001131A4">
              <w:rPr>
                <w:sz w:val="22"/>
                <w:szCs w:val="22"/>
              </w:rPr>
              <w:t>BACT</w:t>
            </w:r>
          </w:p>
        </w:tc>
      </w:tr>
      <w:tr w:rsidR="00623C2E" w:rsidRPr="00891809" w:rsidTr="006843CA">
        <w:trPr>
          <w:trHeight w:val="187"/>
        </w:trPr>
        <w:tc>
          <w:tcPr>
            <w:tcW w:w="1170" w:type="dxa"/>
            <w:vMerge/>
            <w:vAlign w:val="center"/>
          </w:tcPr>
          <w:p w:rsidR="00623C2E" w:rsidRPr="001131A4" w:rsidRDefault="00623C2E" w:rsidP="006843CA">
            <w:pPr>
              <w:spacing w:before="60" w:after="60"/>
              <w:jc w:val="center"/>
              <w:rPr>
                <w:sz w:val="22"/>
                <w:szCs w:val="22"/>
              </w:rPr>
            </w:pPr>
          </w:p>
        </w:tc>
        <w:tc>
          <w:tcPr>
            <w:tcW w:w="2603" w:type="dxa"/>
            <w:tcBorders>
              <w:top w:val="single" w:sz="6" w:space="0" w:color="auto"/>
            </w:tcBorders>
          </w:tcPr>
          <w:p w:rsidR="00623C2E" w:rsidRPr="001131A4" w:rsidRDefault="00623C2E" w:rsidP="006843CA">
            <w:pPr>
              <w:pStyle w:val="EndnoteText"/>
              <w:tabs>
                <w:tab w:val="decimal" w:pos="-18"/>
              </w:tabs>
              <w:spacing w:before="60" w:after="60"/>
              <w:jc w:val="center"/>
              <w:rPr>
                <w:sz w:val="22"/>
                <w:szCs w:val="22"/>
              </w:rPr>
            </w:pPr>
            <w:r>
              <w:rPr>
                <w:color w:val="000000"/>
                <w:sz w:val="22"/>
                <w:szCs w:val="22"/>
              </w:rPr>
              <w:t xml:space="preserve">1.5 </w:t>
            </w:r>
            <w:r w:rsidRPr="001131A4">
              <w:rPr>
                <w:color w:val="000000"/>
                <w:sz w:val="22"/>
                <w:szCs w:val="22"/>
              </w:rPr>
              <w:t>gr S/100 SCF of gas</w:t>
            </w:r>
            <w:r>
              <w:rPr>
                <w:color w:val="000000"/>
                <w:sz w:val="22"/>
                <w:szCs w:val="22"/>
              </w:rPr>
              <w:t>/</w:t>
            </w:r>
            <w:r>
              <w:rPr>
                <w:color w:val="000000"/>
                <w:sz w:val="22"/>
                <w:szCs w:val="22"/>
              </w:rPr>
              <w:br/>
              <w:t>0.05 % S fuel oil</w:t>
            </w:r>
          </w:p>
        </w:tc>
        <w:tc>
          <w:tcPr>
            <w:tcW w:w="1807" w:type="dxa"/>
            <w:tcBorders>
              <w:top w:val="single" w:sz="6" w:space="0" w:color="auto"/>
            </w:tcBorders>
          </w:tcPr>
          <w:p w:rsidR="00623C2E" w:rsidRPr="001131A4" w:rsidRDefault="00623C2E" w:rsidP="006843CA">
            <w:pPr>
              <w:pStyle w:val="EndnoteText"/>
              <w:tabs>
                <w:tab w:val="decimal" w:pos="-18"/>
              </w:tabs>
              <w:spacing w:before="60" w:after="60"/>
              <w:jc w:val="center"/>
              <w:rPr>
                <w:sz w:val="22"/>
                <w:szCs w:val="22"/>
              </w:rPr>
            </w:pPr>
            <w:r>
              <w:rPr>
                <w:sz w:val="22"/>
                <w:szCs w:val="22"/>
              </w:rPr>
              <w:t>N/A</w:t>
            </w:r>
          </w:p>
        </w:tc>
        <w:tc>
          <w:tcPr>
            <w:tcW w:w="2430" w:type="dxa"/>
            <w:tcBorders>
              <w:top w:val="single" w:sz="6" w:space="0" w:color="auto"/>
            </w:tcBorders>
          </w:tcPr>
          <w:p w:rsidR="00623C2E" w:rsidRPr="001131A4" w:rsidRDefault="00623C2E" w:rsidP="006843CA">
            <w:pPr>
              <w:pStyle w:val="Caption"/>
              <w:tabs>
                <w:tab w:val="decimal" w:pos="-18"/>
              </w:tabs>
              <w:spacing w:before="60" w:after="60"/>
              <w:jc w:val="center"/>
              <w:rPr>
                <w:b w:val="0"/>
                <w:caps w:val="0"/>
                <w:szCs w:val="22"/>
              </w:rPr>
            </w:pPr>
            <w:r w:rsidRPr="001131A4">
              <w:rPr>
                <w:b w:val="0"/>
                <w:caps w:val="0"/>
                <w:szCs w:val="22"/>
              </w:rPr>
              <w:t>Record Keeping</w:t>
            </w:r>
          </w:p>
        </w:tc>
        <w:tc>
          <w:tcPr>
            <w:tcW w:w="1417" w:type="dxa"/>
            <w:vMerge/>
            <w:vAlign w:val="center"/>
          </w:tcPr>
          <w:p w:rsidR="00623C2E" w:rsidRPr="001131A4" w:rsidRDefault="00623C2E" w:rsidP="006843CA">
            <w:pPr>
              <w:pStyle w:val="EndnoteText"/>
              <w:tabs>
                <w:tab w:val="decimal" w:pos="-18"/>
              </w:tabs>
              <w:spacing w:before="60" w:after="60"/>
              <w:jc w:val="center"/>
              <w:rPr>
                <w:b/>
                <w:sz w:val="22"/>
                <w:szCs w:val="22"/>
              </w:rPr>
            </w:pPr>
          </w:p>
        </w:tc>
      </w:tr>
      <w:tr w:rsidR="00623C2E" w:rsidRPr="00891809" w:rsidTr="006843CA">
        <w:trPr>
          <w:trHeight w:val="765"/>
        </w:trPr>
        <w:tc>
          <w:tcPr>
            <w:tcW w:w="1170" w:type="dxa"/>
            <w:vAlign w:val="center"/>
          </w:tcPr>
          <w:p w:rsidR="00623C2E" w:rsidRPr="001131A4" w:rsidRDefault="00623C2E" w:rsidP="006843CA">
            <w:pPr>
              <w:spacing w:before="60" w:after="60"/>
              <w:jc w:val="center"/>
              <w:rPr>
                <w:sz w:val="22"/>
                <w:szCs w:val="22"/>
              </w:rPr>
            </w:pPr>
            <w:r w:rsidRPr="001131A4">
              <w:rPr>
                <w:sz w:val="22"/>
                <w:szCs w:val="22"/>
              </w:rPr>
              <w:t>SO</w:t>
            </w:r>
            <w:r w:rsidRPr="001131A4">
              <w:rPr>
                <w:sz w:val="22"/>
                <w:szCs w:val="22"/>
                <w:vertAlign w:val="subscript"/>
              </w:rPr>
              <w:t>2</w:t>
            </w:r>
            <w:r>
              <w:rPr>
                <w:sz w:val="28"/>
                <w:szCs w:val="28"/>
                <w:vertAlign w:val="superscript"/>
              </w:rPr>
              <w:t>b</w:t>
            </w:r>
          </w:p>
        </w:tc>
        <w:tc>
          <w:tcPr>
            <w:tcW w:w="2603" w:type="dxa"/>
            <w:vAlign w:val="center"/>
          </w:tcPr>
          <w:p w:rsidR="00623C2E" w:rsidRPr="001131A4" w:rsidRDefault="00623C2E" w:rsidP="006843CA">
            <w:pPr>
              <w:pStyle w:val="EndnoteText"/>
              <w:tabs>
                <w:tab w:val="decimal" w:pos="-18"/>
              </w:tabs>
              <w:spacing w:before="60" w:after="60"/>
              <w:jc w:val="center"/>
              <w:rPr>
                <w:sz w:val="22"/>
                <w:szCs w:val="22"/>
              </w:rPr>
            </w:pPr>
            <w:r>
              <w:rPr>
                <w:color w:val="000000"/>
                <w:sz w:val="22"/>
                <w:szCs w:val="22"/>
              </w:rPr>
              <w:t>1.5</w:t>
            </w:r>
            <w:r w:rsidRPr="001131A4">
              <w:rPr>
                <w:color w:val="000000"/>
                <w:sz w:val="22"/>
                <w:szCs w:val="22"/>
              </w:rPr>
              <w:t xml:space="preserve"> gr S/100 SCF of gas</w:t>
            </w:r>
            <w:r>
              <w:rPr>
                <w:color w:val="000000"/>
                <w:sz w:val="22"/>
                <w:szCs w:val="22"/>
              </w:rPr>
              <w:t>/</w:t>
            </w:r>
            <w:r>
              <w:rPr>
                <w:color w:val="000000"/>
                <w:sz w:val="22"/>
                <w:szCs w:val="22"/>
              </w:rPr>
              <w:br/>
              <w:t>0.05 % S fuel oil</w:t>
            </w:r>
          </w:p>
        </w:tc>
        <w:tc>
          <w:tcPr>
            <w:tcW w:w="1807" w:type="dxa"/>
            <w:shd w:val="clear" w:color="auto" w:fill="auto"/>
            <w:vAlign w:val="center"/>
          </w:tcPr>
          <w:p w:rsidR="00623C2E" w:rsidRPr="001131A4" w:rsidRDefault="00623C2E" w:rsidP="006843CA">
            <w:pPr>
              <w:pStyle w:val="EndnoteText"/>
              <w:tabs>
                <w:tab w:val="decimal" w:pos="-18"/>
              </w:tabs>
              <w:spacing w:before="60" w:after="60"/>
              <w:jc w:val="center"/>
              <w:rPr>
                <w:sz w:val="22"/>
                <w:szCs w:val="22"/>
              </w:rPr>
            </w:pPr>
            <w:r w:rsidRPr="001131A4">
              <w:rPr>
                <w:sz w:val="22"/>
                <w:szCs w:val="22"/>
              </w:rPr>
              <w:t>N/A</w:t>
            </w:r>
          </w:p>
        </w:tc>
        <w:tc>
          <w:tcPr>
            <w:tcW w:w="2430" w:type="dxa"/>
            <w:shd w:val="clear" w:color="auto" w:fill="auto"/>
            <w:vAlign w:val="center"/>
          </w:tcPr>
          <w:p w:rsidR="00623C2E" w:rsidRPr="001131A4" w:rsidRDefault="00623C2E" w:rsidP="006843CA">
            <w:pPr>
              <w:pStyle w:val="EndnoteText"/>
              <w:tabs>
                <w:tab w:val="decimal" w:pos="-18"/>
              </w:tabs>
              <w:spacing w:before="60" w:after="60"/>
              <w:jc w:val="center"/>
              <w:rPr>
                <w:sz w:val="22"/>
                <w:szCs w:val="22"/>
              </w:rPr>
            </w:pPr>
            <w:r w:rsidRPr="001131A4">
              <w:rPr>
                <w:sz w:val="22"/>
                <w:szCs w:val="22"/>
              </w:rPr>
              <w:t>Record Keeping</w:t>
            </w:r>
          </w:p>
        </w:tc>
        <w:tc>
          <w:tcPr>
            <w:tcW w:w="1417" w:type="dxa"/>
            <w:vAlign w:val="center"/>
          </w:tcPr>
          <w:p w:rsidR="00623C2E" w:rsidRPr="001131A4" w:rsidRDefault="00623C2E" w:rsidP="006843CA">
            <w:pPr>
              <w:spacing w:before="60" w:after="60"/>
              <w:jc w:val="center"/>
              <w:rPr>
                <w:sz w:val="22"/>
                <w:szCs w:val="22"/>
              </w:rPr>
            </w:pPr>
            <w:r>
              <w:rPr>
                <w:sz w:val="22"/>
                <w:szCs w:val="22"/>
              </w:rPr>
              <w:t>PSD Avoidance</w:t>
            </w:r>
          </w:p>
        </w:tc>
      </w:tr>
    </w:tbl>
    <w:p w:rsidR="00623C2E" w:rsidRPr="00A0025A" w:rsidRDefault="00623C2E" w:rsidP="00623C2E">
      <w:pPr>
        <w:numPr>
          <w:ilvl w:val="0"/>
          <w:numId w:val="10"/>
        </w:numPr>
        <w:tabs>
          <w:tab w:val="clear" w:pos="720"/>
        </w:tabs>
        <w:suppressAutoHyphens/>
        <w:spacing w:before="120" w:after="120"/>
        <w:rPr>
          <w:sz w:val="22"/>
          <w:szCs w:val="22"/>
        </w:rPr>
      </w:pPr>
      <w:r w:rsidRPr="00A0025A">
        <w:rPr>
          <w:sz w:val="22"/>
          <w:szCs w:val="22"/>
        </w:rPr>
        <w:t xml:space="preserve">The fuel sulfur specifications combined with the efficient combustion design and operation of the </w:t>
      </w:r>
      <w:r>
        <w:rPr>
          <w:sz w:val="22"/>
          <w:szCs w:val="22"/>
        </w:rPr>
        <w:t>combustion</w:t>
      </w:r>
      <w:r w:rsidRPr="00A0025A">
        <w:rPr>
          <w:sz w:val="22"/>
          <w:szCs w:val="22"/>
        </w:rPr>
        <w:t xml:space="preserve"> turbine represent BACT for PM/PM</w:t>
      </w:r>
      <w:r w:rsidRPr="000071A9">
        <w:rPr>
          <w:sz w:val="22"/>
          <w:szCs w:val="22"/>
          <w:vertAlign w:val="subscript"/>
        </w:rPr>
        <w:t>10</w:t>
      </w:r>
      <w:r w:rsidRPr="00A0025A">
        <w:rPr>
          <w:sz w:val="22"/>
          <w:szCs w:val="22"/>
        </w:rPr>
        <w:t xml:space="preserve"> emissions.  Compliance with the visible emissions standard shall serve as </w:t>
      </w:r>
      <w:r>
        <w:rPr>
          <w:sz w:val="22"/>
          <w:szCs w:val="22"/>
        </w:rPr>
        <w:t xml:space="preserve">an </w:t>
      </w:r>
      <w:r w:rsidRPr="00A0025A">
        <w:rPr>
          <w:sz w:val="22"/>
          <w:szCs w:val="22"/>
        </w:rPr>
        <w:t>indicator of good combustion.</w:t>
      </w:r>
    </w:p>
    <w:p w:rsidR="00623C2E" w:rsidRPr="00A0025A" w:rsidRDefault="00623C2E" w:rsidP="00623C2E">
      <w:pPr>
        <w:numPr>
          <w:ilvl w:val="0"/>
          <w:numId w:val="10"/>
        </w:numPr>
        <w:tabs>
          <w:tab w:val="clear" w:pos="720"/>
        </w:tabs>
        <w:suppressAutoHyphens/>
        <w:spacing w:after="120"/>
        <w:rPr>
          <w:sz w:val="22"/>
          <w:szCs w:val="22"/>
        </w:rPr>
      </w:pPr>
      <w:r w:rsidRPr="00A0025A">
        <w:rPr>
          <w:sz w:val="22"/>
          <w:szCs w:val="22"/>
        </w:rPr>
        <w:t xml:space="preserve">The fuel sulfur specifications </w:t>
      </w:r>
      <w:r>
        <w:rPr>
          <w:sz w:val="22"/>
          <w:szCs w:val="22"/>
        </w:rPr>
        <w:t xml:space="preserve">and limited hours of operation </w:t>
      </w:r>
      <w:r w:rsidRPr="00A0025A">
        <w:rPr>
          <w:sz w:val="22"/>
          <w:szCs w:val="22"/>
        </w:rPr>
        <w:t>effectively limit the potential emissions of SO</w:t>
      </w:r>
      <w:r w:rsidRPr="000071A9">
        <w:rPr>
          <w:sz w:val="22"/>
          <w:szCs w:val="22"/>
          <w:vertAlign w:val="subscript"/>
        </w:rPr>
        <w:t>2</w:t>
      </w:r>
      <w:r>
        <w:rPr>
          <w:sz w:val="22"/>
          <w:szCs w:val="22"/>
        </w:rPr>
        <w:t xml:space="preserve"> and sulfuric acid mist (SAM)</w:t>
      </w:r>
      <w:r w:rsidRPr="00A0025A">
        <w:rPr>
          <w:sz w:val="22"/>
          <w:szCs w:val="22"/>
        </w:rPr>
        <w:t xml:space="preserve"> from the gas turbine.</w:t>
      </w:r>
    </w:p>
    <w:p w:rsidR="00623C2E" w:rsidRPr="00E11B8E" w:rsidRDefault="00623C2E" w:rsidP="00623C2E">
      <w:pPr>
        <w:numPr>
          <w:ilvl w:val="0"/>
          <w:numId w:val="10"/>
        </w:numPr>
        <w:tabs>
          <w:tab w:val="clear" w:pos="720"/>
        </w:tabs>
        <w:suppressAutoHyphens/>
        <w:spacing w:after="120"/>
        <w:rPr>
          <w:sz w:val="22"/>
          <w:szCs w:val="22"/>
        </w:rPr>
      </w:pPr>
      <w:r w:rsidRPr="00E11B8E">
        <w:rPr>
          <w:sz w:val="22"/>
          <w:szCs w:val="22"/>
        </w:rPr>
        <w:t>The mass emission rate standards are based on a turbine inlet condition of 59°F and 100 percent full load operation.  Mass emission rate may be adjusted from actual test conditions in accordance with the performance curves and/or equations on file with the Department.</w:t>
      </w:r>
    </w:p>
    <w:p w:rsidR="00623C2E" w:rsidRPr="0053650A" w:rsidRDefault="00623C2E" w:rsidP="00623C2E">
      <w:pPr>
        <w:suppressAutoHyphens/>
        <w:spacing w:after="120"/>
        <w:ind w:left="360"/>
        <w:rPr>
          <w:i/>
          <w:sz w:val="22"/>
          <w:szCs w:val="22"/>
        </w:rPr>
      </w:pPr>
      <w:r>
        <w:rPr>
          <w:i/>
          <w:sz w:val="22"/>
          <w:szCs w:val="22"/>
        </w:rPr>
        <w:t>{Permitting Note:  In combination with the annual restriction on hours of operation, the above emissions standards effectively limit annual potential emissions from the combustion turbine to:  174.5 tons/year of NO</w:t>
      </w:r>
      <w:r>
        <w:rPr>
          <w:i/>
          <w:sz w:val="22"/>
          <w:szCs w:val="22"/>
          <w:vertAlign w:val="subscript"/>
        </w:rPr>
        <w:t>X,</w:t>
      </w:r>
      <w:r w:rsidRPr="00FC0415">
        <w:rPr>
          <w:i/>
          <w:sz w:val="22"/>
          <w:szCs w:val="22"/>
        </w:rPr>
        <w:t>,</w:t>
      </w:r>
      <w:r>
        <w:rPr>
          <w:i/>
          <w:sz w:val="22"/>
          <w:szCs w:val="22"/>
        </w:rPr>
        <w:t xml:space="preserve"> 34.5 tons/year of PM/PM</w:t>
      </w:r>
      <w:r>
        <w:rPr>
          <w:i/>
          <w:sz w:val="22"/>
          <w:szCs w:val="22"/>
          <w:vertAlign w:val="subscript"/>
        </w:rPr>
        <w:t>10</w:t>
      </w:r>
      <w:r>
        <w:rPr>
          <w:i/>
          <w:sz w:val="22"/>
          <w:szCs w:val="22"/>
        </w:rPr>
        <w:t>, and 37.1 tons/year of SO</w:t>
      </w:r>
      <w:r>
        <w:rPr>
          <w:i/>
          <w:sz w:val="22"/>
          <w:szCs w:val="22"/>
          <w:vertAlign w:val="subscript"/>
        </w:rPr>
        <w:t>2</w:t>
      </w:r>
      <w:r>
        <w:rPr>
          <w:i/>
          <w:sz w:val="22"/>
          <w:szCs w:val="22"/>
        </w:rPr>
        <w:t>.}</w:t>
      </w:r>
    </w:p>
    <w:p w:rsidR="00F1678F" w:rsidRPr="00F1678F" w:rsidRDefault="00623C2E" w:rsidP="001B0D17">
      <w:pPr>
        <w:spacing w:after="120"/>
        <w:ind w:left="360"/>
        <w:rPr>
          <w:sz w:val="22"/>
          <w:szCs w:val="22"/>
          <w:u w:val="single"/>
        </w:rPr>
      </w:pPr>
      <w:r w:rsidRPr="003450C0">
        <w:rPr>
          <w:color w:val="000000"/>
          <w:sz w:val="22"/>
          <w:szCs w:val="22"/>
        </w:rPr>
        <w:lastRenderedPageBreak/>
        <w:t>[</w:t>
      </w:r>
      <w:r w:rsidRPr="00AF2C05">
        <w:rPr>
          <w:sz w:val="22"/>
          <w:szCs w:val="22"/>
        </w:rPr>
        <w:t>Rules 62-4.070(3)</w:t>
      </w:r>
      <w:r>
        <w:rPr>
          <w:sz w:val="22"/>
          <w:szCs w:val="22"/>
        </w:rPr>
        <w:t xml:space="preserve">, </w:t>
      </w:r>
      <w:r w:rsidRPr="003450C0">
        <w:rPr>
          <w:sz w:val="22"/>
          <w:szCs w:val="22"/>
        </w:rPr>
        <w:t>62-210.200</w:t>
      </w:r>
      <w:r>
        <w:rPr>
          <w:sz w:val="22"/>
          <w:szCs w:val="22"/>
        </w:rPr>
        <w:t xml:space="preserve"> </w:t>
      </w:r>
      <w:r w:rsidRPr="003450C0">
        <w:rPr>
          <w:sz w:val="22"/>
          <w:szCs w:val="22"/>
        </w:rPr>
        <w:t>(</w:t>
      </w:r>
      <w:r>
        <w:rPr>
          <w:sz w:val="22"/>
          <w:szCs w:val="22"/>
        </w:rPr>
        <w:t>BACT),</w:t>
      </w:r>
      <w:r w:rsidRPr="00AF2C05">
        <w:rPr>
          <w:sz w:val="22"/>
          <w:szCs w:val="22"/>
        </w:rPr>
        <w:t xml:space="preserve"> 62-212.400(</w:t>
      </w:r>
      <w:r>
        <w:rPr>
          <w:sz w:val="22"/>
          <w:szCs w:val="22"/>
        </w:rPr>
        <w:t>PSD and PSD Avoidance</w:t>
      </w:r>
      <w:r w:rsidRPr="00AF2C05">
        <w:rPr>
          <w:sz w:val="22"/>
          <w:szCs w:val="22"/>
        </w:rPr>
        <w:t>), F.A.C</w:t>
      </w:r>
      <w:r>
        <w:rPr>
          <w:sz w:val="22"/>
          <w:szCs w:val="22"/>
        </w:rPr>
        <w:t xml:space="preserve">; 40 CFR 60, Subpart KKKK; and, </w:t>
      </w:r>
      <w:r w:rsidRPr="001C6418">
        <w:rPr>
          <w:sz w:val="22"/>
          <w:szCs w:val="22"/>
        </w:rPr>
        <w:t>Applicants Request</w:t>
      </w:r>
      <w:r>
        <w:rPr>
          <w:sz w:val="22"/>
          <w:szCs w:val="22"/>
        </w:rPr>
        <w:t>]</w:t>
      </w:r>
    </w:p>
    <w:p w:rsidR="00F1678F" w:rsidRPr="00F1678F" w:rsidRDefault="00F1678F" w:rsidP="001B0D17">
      <w:pPr>
        <w:pStyle w:val="ListParagraph"/>
        <w:spacing w:after="120"/>
        <w:ind w:left="360"/>
        <w:rPr>
          <w:sz w:val="22"/>
          <w:szCs w:val="22"/>
        </w:rPr>
      </w:pPr>
      <w:r w:rsidRPr="00F1678F">
        <w:rPr>
          <w:sz w:val="22"/>
          <w:szCs w:val="22"/>
          <w:u w:val="single"/>
        </w:rPr>
        <w:t>Department’s Response</w:t>
      </w:r>
      <w:r w:rsidRPr="00F1678F">
        <w:rPr>
          <w:sz w:val="22"/>
          <w:szCs w:val="22"/>
        </w:rPr>
        <w:t>:</w:t>
      </w:r>
    </w:p>
    <w:p w:rsidR="00F1678F" w:rsidRPr="00762FA3" w:rsidRDefault="001358C6" w:rsidP="001B0D17">
      <w:pPr>
        <w:pStyle w:val="ListParagraph"/>
        <w:spacing w:before="120" w:after="120"/>
        <w:rPr>
          <w:sz w:val="22"/>
          <w:szCs w:val="22"/>
        </w:rPr>
      </w:pPr>
      <w:r>
        <w:rPr>
          <w:sz w:val="22"/>
          <w:szCs w:val="22"/>
        </w:rPr>
        <w:t>Since a NO</w:t>
      </w:r>
      <w:r w:rsidR="001B0D17">
        <w:rPr>
          <w:sz w:val="22"/>
          <w:szCs w:val="22"/>
        </w:rPr>
        <w:t>x</w:t>
      </w:r>
      <w:r>
        <w:rPr>
          <w:sz w:val="22"/>
          <w:szCs w:val="22"/>
        </w:rPr>
        <w:t xml:space="preserve"> continuous emissions monitor is used to show compliance with the BACT limit of </w:t>
      </w:r>
      <w:r w:rsidRPr="001131A4">
        <w:rPr>
          <w:sz w:val="22"/>
          <w:szCs w:val="22"/>
        </w:rPr>
        <w:t xml:space="preserve">9.0 ppmvd @ 15% </w:t>
      </w:r>
      <w:r w:rsidRPr="00E11B8E">
        <w:rPr>
          <w:sz w:val="22"/>
          <w:szCs w:val="22"/>
        </w:rPr>
        <w:t>O</w:t>
      </w:r>
      <w:r w:rsidRPr="00E11B8E">
        <w:rPr>
          <w:sz w:val="22"/>
          <w:szCs w:val="22"/>
          <w:vertAlign w:val="subscript"/>
        </w:rPr>
        <w:t>2</w:t>
      </w:r>
      <w:r w:rsidR="001B0D17">
        <w:rPr>
          <w:sz w:val="22"/>
          <w:szCs w:val="22"/>
        </w:rPr>
        <w:t xml:space="preserve"> for gas and 42.0 ppmvd@15% O</w:t>
      </w:r>
      <w:r w:rsidR="001B0D17" w:rsidRPr="001B0D17">
        <w:rPr>
          <w:sz w:val="22"/>
          <w:szCs w:val="22"/>
          <w:vertAlign w:val="subscript"/>
        </w:rPr>
        <w:t>2</w:t>
      </w:r>
      <w:r w:rsidR="001B0D17">
        <w:rPr>
          <w:sz w:val="22"/>
          <w:szCs w:val="22"/>
        </w:rPr>
        <w:t xml:space="preserve"> for oil</w:t>
      </w:r>
      <w:r w:rsidR="00E11B8E">
        <w:rPr>
          <w:sz w:val="22"/>
          <w:szCs w:val="22"/>
        </w:rPr>
        <w:t>, t</w:t>
      </w:r>
      <w:r w:rsidR="00F1678F" w:rsidRPr="00E11B8E">
        <w:rPr>
          <w:sz w:val="22"/>
          <w:szCs w:val="22"/>
        </w:rPr>
        <w:t>he</w:t>
      </w:r>
      <w:r w:rsidR="00F1678F" w:rsidRPr="00762FA3">
        <w:rPr>
          <w:sz w:val="22"/>
          <w:szCs w:val="22"/>
        </w:rPr>
        <w:t xml:space="preserve"> Department </w:t>
      </w:r>
      <w:r w:rsidR="00E11B8E">
        <w:rPr>
          <w:sz w:val="22"/>
          <w:szCs w:val="22"/>
        </w:rPr>
        <w:t>does not feel the mass emissions limit demonstrated by stack testing is required</w:t>
      </w:r>
      <w:r w:rsidR="00F1678F" w:rsidRPr="00762FA3">
        <w:rPr>
          <w:sz w:val="22"/>
          <w:szCs w:val="22"/>
        </w:rPr>
        <w:t>.</w:t>
      </w:r>
      <w:r w:rsidR="00E11B8E">
        <w:rPr>
          <w:sz w:val="22"/>
          <w:szCs w:val="22"/>
        </w:rPr>
        <w:t xml:space="preserve">  Specific Condition 10. is changed as follows:</w:t>
      </w:r>
    </w:p>
    <w:p w:rsidR="001358C6" w:rsidRPr="00F36372" w:rsidRDefault="001358C6" w:rsidP="001358C6">
      <w:pPr>
        <w:spacing w:after="120"/>
        <w:ind w:left="360"/>
        <w:rPr>
          <w:sz w:val="22"/>
          <w:szCs w:val="22"/>
        </w:rPr>
      </w:pPr>
      <w:r>
        <w:rPr>
          <w:sz w:val="23"/>
          <w:szCs w:val="23"/>
        </w:rPr>
        <w:t xml:space="preserve">10.  </w:t>
      </w:r>
      <w:r w:rsidRPr="00E42CD1">
        <w:rPr>
          <w:color w:val="000000"/>
          <w:sz w:val="22"/>
          <w:szCs w:val="22"/>
          <w:u w:val="single"/>
        </w:rPr>
        <w:t>Emission Standards</w:t>
      </w:r>
      <w:r w:rsidRPr="003450C0">
        <w:rPr>
          <w:color w:val="000000"/>
          <w:sz w:val="22"/>
          <w:szCs w:val="22"/>
        </w:rPr>
        <w:t xml:space="preserve">:  </w:t>
      </w:r>
      <w:r w:rsidRPr="003450C0">
        <w:rPr>
          <w:caps/>
          <w:color w:val="000000"/>
          <w:sz w:val="22"/>
          <w:szCs w:val="22"/>
        </w:rPr>
        <w:t>E</w:t>
      </w:r>
      <w:r w:rsidRPr="003450C0">
        <w:rPr>
          <w:color w:val="000000"/>
          <w:sz w:val="22"/>
          <w:szCs w:val="22"/>
        </w:rPr>
        <w:t xml:space="preserve">missions from the </w:t>
      </w:r>
      <w:r>
        <w:rPr>
          <w:color w:val="000000"/>
          <w:sz w:val="22"/>
          <w:szCs w:val="22"/>
        </w:rPr>
        <w:t xml:space="preserve">combustion </w:t>
      </w:r>
      <w:r w:rsidRPr="003450C0">
        <w:rPr>
          <w:color w:val="000000"/>
          <w:sz w:val="22"/>
          <w:szCs w:val="22"/>
        </w:rPr>
        <w:t>turbine</w:t>
      </w:r>
      <w:r>
        <w:rPr>
          <w:color w:val="000000"/>
          <w:sz w:val="22"/>
          <w:szCs w:val="22"/>
        </w:rPr>
        <w:t xml:space="preserve"> </w:t>
      </w:r>
      <w:r w:rsidRPr="003450C0">
        <w:rPr>
          <w:color w:val="000000"/>
          <w:sz w:val="22"/>
          <w:szCs w:val="22"/>
        </w:rPr>
        <w:t>shall not exceed the following standards.</w:t>
      </w:r>
    </w:p>
    <w:tbl>
      <w:tblPr>
        <w:tblW w:w="9427"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0"/>
        <w:gridCol w:w="2603"/>
        <w:gridCol w:w="1807"/>
        <w:gridCol w:w="2430"/>
        <w:gridCol w:w="1417"/>
      </w:tblGrid>
      <w:tr w:rsidR="001358C6" w:rsidRPr="00891809" w:rsidTr="00400B46">
        <w:trPr>
          <w:trHeight w:val="381"/>
        </w:trPr>
        <w:tc>
          <w:tcPr>
            <w:tcW w:w="1170" w:type="dxa"/>
            <w:vAlign w:val="center"/>
          </w:tcPr>
          <w:p w:rsidR="001358C6" w:rsidRPr="001131A4" w:rsidRDefault="001358C6" w:rsidP="00400B46">
            <w:pPr>
              <w:spacing w:before="60" w:after="60"/>
              <w:jc w:val="center"/>
              <w:rPr>
                <w:b/>
                <w:sz w:val="22"/>
                <w:szCs w:val="22"/>
              </w:rPr>
            </w:pPr>
            <w:r w:rsidRPr="001131A4">
              <w:rPr>
                <w:sz w:val="22"/>
                <w:szCs w:val="22"/>
              </w:rPr>
              <w:br w:type="page"/>
            </w:r>
            <w:r w:rsidRPr="001131A4">
              <w:rPr>
                <w:b/>
                <w:sz w:val="22"/>
                <w:szCs w:val="22"/>
              </w:rPr>
              <w:t>Pollutant</w:t>
            </w:r>
          </w:p>
        </w:tc>
        <w:tc>
          <w:tcPr>
            <w:tcW w:w="2603" w:type="dxa"/>
            <w:tcBorders>
              <w:bottom w:val="single" w:sz="6" w:space="0" w:color="auto"/>
            </w:tcBorders>
            <w:vAlign w:val="center"/>
          </w:tcPr>
          <w:p w:rsidR="001358C6" w:rsidRPr="00A0025A" w:rsidRDefault="001358C6" w:rsidP="00400B46">
            <w:pPr>
              <w:spacing w:before="60" w:after="60"/>
              <w:jc w:val="center"/>
              <w:rPr>
                <w:b/>
                <w:sz w:val="22"/>
                <w:szCs w:val="22"/>
                <w:vertAlign w:val="superscript"/>
              </w:rPr>
            </w:pPr>
            <w:r w:rsidRPr="001131A4">
              <w:rPr>
                <w:b/>
                <w:sz w:val="22"/>
                <w:szCs w:val="22"/>
              </w:rPr>
              <w:t>Emission Standard</w:t>
            </w:r>
            <w:r w:rsidRPr="000071A9">
              <w:rPr>
                <w:b/>
                <w:sz w:val="22"/>
                <w:szCs w:val="22"/>
                <w:vertAlign w:val="superscript"/>
              </w:rPr>
              <w:t xml:space="preserve"> </w:t>
            </w:r>
            <w:r w:rsidRPr="009803EA">
              <w:rPr>
                <w:b/>
                <w:strike/>
                <w:sz w:val="28"/>
                <w:szCs w:val="28"/>
                <w:highlight w:val="yellow"/>
                <w:vertAlign w:val="superscript"/>
              </w:rPr>
              <w:t>c</w:t>
            </w:r>
          </w:p>
        </w:tc>
        <w:tc>
          <w:tcPr>
            <w:tcW w:w="1807" w:type="dxa"/>
            <w:tcBorders>
              <w:bottom w:val="single" w:sz="6" w:space="0" w:color="auto"/>
            </w:tcBorders>
            <w:vAlign w:val="center"/>
          </w:tcPr>
          <w:p w:rsidR="001358C6" w:rsidRPr="001131A4" w:rsidRDefault="001358C6" w:rsidP="00400B46">
            <w:pPr>
              <w:spacing w:before="60" w:after="60"/>
              <w:jc w:val="center"/>
              <w:rPr>
                <w:b/>
                <w:sz w:val="22"/>
                <w:szCs w:val="22"/>
              </w:rPr>
            </w:pPr>
            <w:r w:rsidRPr="001131A4">
              <w:rPr>
                <w:b/>
                <w:sz w:val="22"/>
                <w:szCs w:val="22"/>
              </w:rPr>
              <w:t>Averaging Time</w:t>
            </w:r>
          </w:p>
        </w:tc>
        <w:tc>
          <w:tcPr>
            <w:tcW w:w="2430" w:type="dxa"/>
            <w:tcBorders>
              <w:bottom w:val="single" w:sz="6" w:space="0" w:color="auto"/>
            </w:tcBorders>
            <w:shd w:val="clear" w:color="auto" w:fill="auto"/>
            <w:vAlign w:val="center"/>
          </w:tcPr>
          <w:p w:rsidR="001358C6" w:rsidRPr="001131A4" w:rsidRDefault="001358C6" w:rsidP="00400B46">
            <w:pPr>
              <w:pStyle w:val="EndnoteText"/>
              <w:tabs>
                <w:tab w:val="decimal" w:pos="-18"/>
              </w:tabs>
              <w:spacing w:before="60" w:after="60"/>
              <w:jc w:val="center"/>
              <w:rPr>
                <w:b/>
                <w:sz w:val="22"/>
                <w:szCs w:val="22"/>
              </w:rPr>
            </w:pPr>
            <w:r w:rsidRPr="001131A4">
              <w:rPr>
                <w:b/>
                <w:sz w:val="22"/>
                <w:szCs w:val="22"/>
              </w:rPr>
              <w:t>Compliance Method</w:t>
            </w:r>
          </w:p>
        </w:tc>
        <w:tc>
          <w:tcPr>
            <w:tcW w:w="1417" w:type="dxa"/>
            <w:vAlign w:val="center"/>
          </w:tcPr>
          <w:p w:rsidR="001358C6" w:rsidRPr="001131A4" w:rsidRDefault="001358C6" w:rsidP="00400B46">
            <w:pPr>
              <w:pStyle w:val="EndnoteText"/>
              <w:tabs>
                <w:tab w:val="decimal" w:pos="-18"/>
              </w:tabs>
              <w:spacing w:before="60" w:after="60"/>
              <w:jc w:val="center"/>
              <w:rPr>
                <w:b/>
                <w:sz w:val="22"/>
                <w:szCs w:val="22"/>
              </w:rPr>
            </w:pPr>
            <w:r w:rsidRPr="001131A4">
              <w:rPr>
                <w:b/>
                <w:sz w:val="22"/>
                <w:szCs w:val="22"/>
              </w:rPr>
              <w:t>Basis</w:t>
            </w:r>
          </w:p>
        </w:tc>
      </w:tr>
      <w:tr w:rsidR="001358C6" w:rsidRPr="00891809" w:rsidTr="00400B46">
        <w:trPr>
          <w:trHeight w:val="188"/>
        </w:trPr>
        <w:tc>
          <w:tcPr>
            <w:tcW w:w="1170" w:type="dxa"/>
            <w:vMerge w:val="restart"/>
            <w:vAlign w:val="center"/>
          </w:tcPr>
          <w:p w:rsidR="001358C6" w:rsidRPr="007546F0" w:rsidRDefault="001358C6" w:rsidP="00400B46">
            <w:pPr>
              <w:spacing w:before="60" w:after="60"/>
              <w:jc w:val="center"/>
              <w:rPr>
                <w:sz w:val="22"/>
                <w:szCs w:val="22"/>
              </w:rPr>
            </w:pPr>
            <w:r w:rsidRPr="001131A4">
              <w:rPr>
                <w:sz w:val="22"/>
                <w:szCs w:val="22"/>
              </w:rPr>
              <w:t>NO</w:t>
            </w:r>
            <w:r w:rsidRPr="001131A4">
              <w:rPr>
                <w:sz w:val="22"/>
                <w:szCs w:val="22"/>
                <w:vertAlign w:val="subscript"/>
              </w:rPr>
              <w:t>X</w:t>
            </w:r>
            <w:r>
              <w:rPr>
                <w:sz w:val="22"/>
                <w:szCs w:val="22"/>
              </w:rPr>
              <w:t xml:space="preserve"> (Gas)</w:t>
            </w:r>
          </w:p>
        </w:tc>
        <w:tc>
          <w:tcPr>
            <w:tcW w:w="2603" w:type="dxa"/>
            <w:tcBorders>
              <w:bottom w:val="single" w:sz="6" w:space="0" w:color="auto"/>
            </w:tcBorders>
          </w:tcPr>
          <w:p w:rsidR="001358C6" w:rsidRPr="001131A4" w:rsidRDefault="001358C6" w:rsidP="00400B46">
            <w:pPr>
              <w:tabs>
                <w:tab w:val="decimal" w:pos="-18"/>
              </w:tabs>
              <w:spacing w:before="60" w:after="60"/>
              <w:jc w:val="center"/>
              <w:rPr>
                <w:sz w:val="22"/>
                <w:szCs w:val="22"/>
              </w:rPr>
            </w:pPr>
            <w:r w:rsidRPr="001131A4">
              <w:rPr>
                <w:sz w:val="22"/>
                <w:szCs w:val="22"/>
              </w:rPr>
              <w:t>9.0 ppmvd @ 15% O</w:t>
            </w:r>
            <w:r w:rsidRPr="001131A4">
              <w:rPr>
                <w:sz w:val="22"/>
                <w:szCs w:val="22"/>
                <w:vertAlign w:val="subscript"/>
              </w:rPr>
              <w:t>2</w:t>
            </w:r>
          </w:p>
        </w:tc>
        <w:tc>
          <w:tcPr>
            <w:tcW w:w="1807" w:type="dxa"/>
            <w:tcBorders>
              <w:bottom w:val="single" w:sz="6" w:space="0" w:color="auto"/>
            </w:tcBorders>
            <w:shd w:val="clear" w:color="auto" w:fill="auto"/>
          </w:tcPr>
          <w:p w:rsidR="001358C6" w:rsidRPr="001131A4" w:rsidRDefault="001358C6" w:rsidP="00400B46">
            <w:pPr>
              <w:tabs>
                <w:tab w:val="decimal" w:pos="-18"/>
              </w:tabs>
              <w:spacing w:before="60" w:after="60"/>
              <w:jc w:val="center"/>
              <w:rPr>
                <w:sz w:val="22"/>
                <w:szCs w:val="22"/>
              </w:rPr>
            </w:pPr>
            <w:r w:rsidRPr="001131A4">
              <w:rPr>
                <w:sz w:val="22"/>
                <w:szCs w:val="22"/>
              </w:rPr>
              <w:t>24-hr</w:t>
            </w:r>
            <w:r>
              <w:rPr>
                <w:sz w:val="22"/>
                <w:szCs w:val="22"/>
              </w:rPr>
              <w:t xml:space="preserve"> rolling</w:t>
            </w:r>
          </w:p>
        </w:tc>
        <w:tc>
          <w:tcPr>
            <w:tcW w:w="2430" w:type="dxa"/>
            <w:tcBorders>
              <w:bottom w:val="single" w:sz="6" w:space="0" w:color="auto"/>
            </w:tcBorders>
            <w:shd w:val="clear" w:color="auto" w:fill="auto"/>
          </w:tcPr>
          <w:p w:rsidR="001358C6" w:rsidRPr="001131A4" w:rsidRDefault="001358C6" w:rsidP="00400B46">
            <w:pPr>
              <w:pStyle w:val="EndnoteText"/>
              <w:tabs>
                <w:tab w:val="decimal" w:pos="-18"/>
              </w:tabs>
              <w:spacing w:before="60" w:after="60"/>
              <w:jc w:val="center"/>
              <w:rPr>
                <w:sz w:val="22"/>
                <w:szCs w:val="22"/>
              </w:rPr>
            </w:pPr>
            <w:r w:rsidRPr="001131A4">
              <w:rPr>
                <w:sz w:val="22"/>
                <w:szCs w:val="22"/>
              </w:rPr>
              <w:t>CEMS</w:t>
            </w:r>
          </w:p>
        </w:tc>
        <w:tc>
          <w:tcPr>
            <w:tcW w:w="1417" w:type="dxa"/>
            <w:vMerge w:val="restart"/>
            <w:vAlign w:val="center"/>
          </w:tcPr>
          <w:p w:rsidR="001358C6" w:rsidRPr="001131A4" w:rsidRDefault="001358C6" w:rsidP="00400B46">
            <w:pPr>
              <w:spacing w:before="60" w:after="60"/>
              <w:jc w:val="center"/>
              <w:rPr>
                <w:sz w:val="22"/>
                <w:szCs w:val="22"/>
              </w:rPr>
            </w:pPr>
            <w:r w:rsidRPr="001131A4">
              <w:rPr>
                <w:sz w:val="22"/>
                <w:szCs w:val="22"/>
              </w:rPr>
              <w:t>BACT</w:t>
            </w:r>
          </w:p>
        </w:tc>
      </w:tr>
      <w:tr w:rsidR="001358C6" w:rsidRPr="00891809" w:rsidTr="00400B46">
        <w:trPr>
          <w:trHeight w:val="187"/>
        </w:trPr>
        <w:tc>
          <w:tcPr>
            <w:tcW w:w="1170" w:type="dxa"/>
            <w:vMerge/>
            <w:vAlign w:val="center"/>
          </w:tcPr>
          <w:p w:rsidR="001358C6" w:rsidRPr="001131A4" w:rsidRDefault="001358C6" w:rsidP="00400B46">
            <w:pPr>
              <w:spacing w:before="60" w:after="60"/>
              <w:jc w:val="center"/>
              <w:rPr>
                <w:sz w:val="22"/>
                <w:szCs w:val="22"/>
              </w:rPr>
            </w:pPr>
          </w:p>
        </w:tc>
        <w:tc>
          <w:tcPr>
            <w:tcW w:w="2603" w:type="dxa"/>
            <w:tcBorders>
              <w:top w:val="single" w:sz="6" w:space="0" w:color="auto"/>
              <w:bottom w:val="single" w:sz="6" w:space="0" w:color="auto"/>
            </w:tcBorders>
          </w:tcPr>
          <w:p w:rsidR="001358C6" w:rsidRPr="00A60A4D" w:rsidRDefault="001358C6" w:rsidP="00400B46">
            <w:pPr>
              <w:tabs>
                <w:tab w:val="decimal" w:pos="-18"/>
              </w:tabs>
              <w:spacing w:before="60" w:after="60"/>
              <w:jc w:val="center"/>
              <w:rPr>
                <w:sz w:val="22"/>
                <w:szCs w:val="22"/>
                <w:highlight w:val="yellow"/>
              </w:rPr>
            </w:pPr>
            <w:r w:rsidRPr="00A60A4D">
              <w:rPr>
                <w:strike/>
                <w:sz w:val="22"/>
                <w:szCs w:val="22"/>
                <w:highlight w:val="yellow"/>
              </w:rPr>
              <w:t>62.5 lb/hr</w:t>
            </w:r>
          </w:p>
        </w:tc>
        <w:tc>
          <w:tcPr>
            <w:tcW w:w="1807" w:type="dxa"/>
            <w:tcBorders>
              <w:top w:val="single" w:sz="6" w:space="0" w:color="auto"/>
              <w:bottom w:val="single" w:sz="6" w:space="0" w:color="auto"/>
            </w:tcBorders>
            <w:shd w:val="clear" w:color="auto" w:fill="auto"/>
          </w:tcPr>
          <w:p w:rsidR="001358C6" w:rsidRPr="00AB098E" w:rsidRDefault="001358C6" w:rsidP="00400B46">
            <w:pPr>
              <w:tabs>
                <w:tab w:val="decimal" w:pos="-18"/>
              </w:tabs>
              <w:spacing w:before="60" w:after="60"/>
              <w:jc w:val="center"/>
              <w:rPr>
                <w:strike/>
                <w:sz w:val="22"/>
                <w:szCs w:val="22"/>
                <w:highlight w:val="yellow"/>
              </w:rPr>
            </w:pPr>
            <w:r w:rsidRPr="00AB098E">
              <w:rPr>
                <w:strike/>
                <w:sz w:val="22"/>
                <w:szCs w:val="22"/>
                <w:highlight w:val="yellow"/>
              </w:rPr>
              <w:t>3 1-hr runs</w:t>
            </w:r>
          </w:p>
        </w:tc>
        <w:tc>
          <w:tcPr>
            <w:tcW w:w="2430" w:type="dxa"/>
            <w:tcBorders>
              <w:top w:val="single" w:sz="6" w:space="0" w:color="auto"/>
              <w:bottom w:val="single" w:sz="6" w:space="0" w:color="auto"/>
            </w:tcBorders>
            <w:shd w:val="clear" w:color="auto" w:fill="auto"/>
          </w:tcPr>
          <w:p w:rsidR="001358C6" w:rsidRPr="00AB098E" w:rsidRDefault="001358C6" w:rsidP="00400B46">
            <w:pPr>
              <w:pStyle w:val="EndnoteText"/>
              <w:tabs>
                <w:tab w:val="decimal" w:pos="-18"/>
              </w:tabs>
              <w:spacing w:before="60" w:after="60"/>
              <w:jc w:val="center"/>
              <w:rPr>
                <w:strike/>
                <w:sz w:val="22"/>
                <w:szCs w:val="22"/>
                <w:highlight w:val="yellow"/>
              </w:rPr>
            </w:pPr>
            <w:r w:rsidRPr="00AB098E">
              <w:rPr>
                <w:strike/>
                <w:sz w:val="22"/>
                <w:szCs w:val="22"/>
                <w:highlight w:val="yellow"/>
              </w:rPr>
              <w:t>Stack Test</w:t>
            </w:r>
          </w:p>
        </w:tc>
        <w:tc>
          <w:tcPr>
            <w:tcW w:w="1417" w:type="dxa"/>
            <w:vMerge/>
            <w:vAlign w:val="center"/>
          </w:tcPr>
          <w:p w:rsidR="001358C6" w:rsidRPr="001131A4" w:rsidRDefault="001358C6" w:rsidP="00400B46">
            <w:pPr>
              <w:pStyle w:val="EndnoteText"/>
              <w:tabs>
                <w:tab w:val="decimal" w:pos="-18"/>
              </w:tabs>
              <w:spacing w:before="60" w:after="60"/>
              <w:jc w:val="center"/>
              <w:rPr>
                <w:b/>
                <w:sz w:val="22"/>
                <w:szCs w:val="22"/>
              </w:rPr>
            </w:pPr>
          </w:p>
        </w:tc>
      </w:tr>
      <w:tr w:rsidR="001358C6" w:rsidRPr="00891809" w:rsidTr="00400B46">
        <w:trPr>
          <w:trHeight w:val="188"/>
        </w:trPr>
        <w:tc>
          <w:tcPr>
            <w:tcW w:w="1170" w:type="dxa"/>
            <w:vMerge w:val="restart"/>
            <w:vAlign w:val="center"/>
          </w:tcPr>
          <w:p w:rsidR="001358C6" w:rsidRPr="007546F0" w:rsidRDefault="001358C6" w:rsidP="00400B46">
            <w:pPr>
              <w:spacing w:before="60" w:after="60"/>
              <w:jc w:val="center"/>
              <w:rPr>
                <w:sz w:val="22"/>
                <w:szCs w:val="22"/>
              </w:rPr>
            </w:pPr>
            <w:r w:rsidRPr="001131A4">
              <w:rPr>
                <w:sz w:val="22"/>
                <w:szCs w:val="22"/>
              </w:rPr>
              <w:t>NO</w:t>
            </w:r>
            <w:r w:rsidRPr="001131A4">
              <w:rPr>
                <w:sz w:val="22"/>
                <w:szCs w:val="22"/>
                <w:vertAlign w:val="subscript"/>
              </w:rPr>
              <w:t>X</w:t>
            </w:r>
            <w:r>
              <w:rPr>
                <w:sz w:val="22"/>
                <w:szCs w:val="22"/>
              </w:rPr>
              <w:t xml:space="preserve"> </w:t>
            </w:r>
            <w:r>
              <w:rPr>
                <w:sz w:val="22"/>
                <w:szCs w:val="22"/>
              </w:rPr>
              <w:br/>
              <w:t>(Oil)</w:t>
            </w:r>
          </w:p>
        </w:tc>
        <w:tc>
          <w:tcPr>
            <w:tcW w:w="2603" w:type="dxa"/>
            <w:tcBorders>
              <w:bottom w:val="single" w:sz="6" w:space="0" w:color="auto"/>
            </w:tcBorders>
          </w:tcPr>
          <w:p w:rsidR="001358C6" w:rsidRPr="001131A4" w:rsidRDefault="001358C6" w:rsidP="00400B46">
            <w:pPr>
              <w:tabs>
                <w:tab w:val="decimal" w:pos="-18"/>
              </w:tabs>
              <w:spacing w:before="60" w:after="60"/>
              <w:jc w:val="center"/>
              <w:rPr>
                <w:sz w:val="22"/>
                <w:szCs w:val="22"/>
              </w:rPr>
            </w:pPr>
            <w:r>
              <w:rPr>
                <w:sz w:val="22"/>
                <w:szCs w:val="22"/>
              </w:rPr>
              <w:t>42.0</w:t>
            </w:r>
            <w:r w:rsidRPr="001131A4">
              <w:rPr>
                <w:sz w:val="22"/>
                <w:szCs w:val="22"/>
              </w:rPr>
              <w:t xml:space="preserve"> ppmvd @ 15% O</w:t>
            </w:r>
            <w:r w:rsidRPr="001131A4">
              <w:rPr>
                <w:sz w:val="22"/>
                <w:szCs w:val="22"/>
                <w:vertAlign w:val="subscript"/>
              </w:rPr>
              <w:t>2</w:t>
            </w:r>
          </w:p>
        </w:tc>
        <w:tc>
          <w:tcPr>
            <w:tcW w:w="1807" w:type="dxa"/>
            <w:tcBorders>
              <w:bottom w:val="single" w:sz="6" w:space="0" w:color="auto"/>
            </w:tcBorders>
          </w:tcPr>
          <w:p w:rsidR="001358C6" w:rsidRPr="001131A4" w:rsidRDefault="001358C6" w:rsidP="00400B46">
            <w:pPr>
              <w:tabs>
                <w:tab w:val="decimal" w:pos="-18"/>
              </w:tabs>
              <w:spacing w:before="60" w:after="60"/>
              <w:jc w:val="center"/>
              <w:rPr>
                <w:sz w:val="22"/>
                <w:szCs w:val="22"/>
              </w:rPr>
            </w:pPr>
            <w:r>
              <w:rPr>
                <w:sz w:val="22"/>
                <w:szCs w:val="22"/>
              </w:rPr>
              <w:t>4</w:t>
            </w:r>
            <w:r w:rsidRPr="001131A4">
              <w:rPr>
                <w:sz w:val="22"/>
                <w:szCs w:val="22"/>
              </w:rPr>
              <w:t>-hr</w:t>
            </w:r>
            <w:r>
              <w:rPr>
                <w:sz w:val="22"/>
                <w:szCs w:val="22"/>
              </w:rPr>
              <w:t xml:space="preserve"> rolling</w:t>
            </w:r>
          </w:p>
        </w:tc>
        <w:tc>
          <w:tcPr>
            <w:tcW w:w="2430" w:type="dxa"/>
            <w:tcBorders>
              <w:bottom w:val="single" w:sz="6" w:space="0" w:color="auto"/>
            </w:tcBorders>
          </w:tcPr>
          <w:p w:rsidR="001358C6" w:rsidRPr="003178A6" w:rsidRDefault="001358C6" w:rsidP="00400B46">
            <w:pPr>
              <w:pStyle w:val="EndnoteText"/>
              <w:tabs>
                <w:tab w:val="decimal" w:pos="-18"/>
              </w:tabs>
              <w:spacing w:before="60" w:after="60"/>
              <w:jc w:val="center"/>
              <w:rPr>
                <w:sz w:val="22"/>
                <w:szCs w:val="22"/>
              </w:rPr>
            </w:pPr>
            <w:r w:rsidRPr="003178A6">
              <w:rPr>
                <w:sz w:val="22"/>
                <w:szCs w:val="22"/>
              </w:rPr>
              <w:t>CEMS</w:t>
            </w:r>
          </w:p>
        </w:tc>
        <w:tc>
          <w:tcPr>
            <w:tcW w:w="1417" w:type="dxa"/>
            <w:vMerge w:val="restart"/>
            <w:vAlign w:val="center"/>
          </w:tcPr>
          <w:p w:rsidR="001358C6" w:rsidRPr="00F178E9" w:rsidRDefault="001358C6" w:rsidP="00400B46">
            <w:pPr>
              <w:pStyle w:val="EndnoteText"/>
              <w:tabs>
                <w:tab w:val="decimal" w:pos="-18"/>
              </w:tabs>
              <w:spacing w:before="60" w:after="60"/>
              <w:jc w:val="center"/>
              <w:rPr>
                <w:sz w:val="22"/>
                <w:szCs w:val="22"/>
              </w:rPr>
            </w:pPr>
            <w:r w:rsidRPr="00F178E9">
              <w:rPr>
                <w:sz w:val="22"/>
                <w:szCs w:val="22"/>
              </w:rPr>
              <w:t>NSPS</w:t>
            </w:r>
          </w:p>
        </w:tc>
      </w:tr>
      <w:tr w:rsidR="001358C6" w:rsidRPr="00891809" w:rsidTr="00400B46">
        <w:trPr>
          <w:trHeight w:val="188"/>
        </w:trPr>
        <w:tc>
          <w:tcPr>
            <w:tcW w:w="1170" w:type="dxa"/>
            <w:vMerge/>
            <w:vAlign w:val="center"/>
          </w:tcPr>
          <w:p w:rsidR="001358C6" w:rsidRPr="001131A4" w:rsidRDefault="001358C6" w:rsidP="00400B46">
            <w:pPr>
              <w:spacing w:before="60" w:after="60"/>
              <w:jc w:val="center"/>
              <w:rPr>
                <w:sz w:val="22"/>
                <w:szCs w:val="22"/>
              </w:rPr>
            </w:pPr>
          </w:p>
        </w:tc>
        <w:tc>
          <w:tcPr>
            <w:tcW w:w="2603" w:type="dxa"/>
            <w:tcBorders>
              <w:bottom w:val="single" w:sz="6" w:space="0" w:color="auto"/>
            </w:tcBorders>
          </w:tcPr>
          <w:p w:rsidR="001358C6" w:rsidRPr="00AB098E" w:rsidRDefault="001358C6" w:rsidP="00400B46">
            <w:pPr>
              <w:pStyle w:val="EndnoteText"/>
              <w:tabs>
                <w:tab w:val="decimal" w:pos="-18"/>
              </w:tabs>
              <w:spacing w:before="60" w:after="60"/>
              <w:jc w:val="center"/>
              <w:rPr>
                <w:strike/>
                <w:color w:val="000000"/>
                <w:sz w:val="22"/>
                <w:szCs w:val="22"/>
                <w:highlight w:val="yellow"/>
              </w:rPr>
            </w:pPr>
            <w:r w:rsidRPr="00AB098E">
              <w:rPr>
                <w:strike/>
                <w:sz w:val="22"/>
                <w:szCs w:val="22"/>
                <w:highlight w:val="yellow"/>
              </w:rPr>
              <w:t>336.8 lb/hr</w:t>
            </w:r>
          </w:p>
        </w:tc>
        <w:tc>
          <w:tcPr>
            <w:tcW w:w="1807" w:type="dxa"/>
            <w:tcBorders>
              <w:bottom w:val="single" w:sz="6" w:space="0" w:color="auto"/>
            </w:tcBorders>
          </w:tcPr>
          <w:p w:rsidR="001358C6" w:rsidRPr="00AB098E" w:rsidRDefault="001358C6" w:rsidP="00400B46">
            <w:pPr>
              <w:pStyle w:val="EndnoteText"/>
              <w:tabs>
                <w:tab w:val="decimal" w:pos="-18"/>
              </w:tabs>
              <w:spacing w:before="60" w:after="60"/>
              <w:jc w:val="center"/>
              <w:rPr>
                <w:strike/>
                <w:sz w:val="22"/>
                <w:szCs w:val="22"/>
                <w:highlight w:val="yellow"/>
              </w:rPr>
            </w:pPr>
            <w:r w:rsidRPr="00AB098E">
              <w:rPr>
                <w:strike/>
                <w:sz w:val="22"/>
                <w:szCs w:val="22"/>
                <w:highlight w:val="yellow"/>
              </w:rPr>
              <w:t>3 1-hr runs</w:t>
            </w:r>
          </w:p>
        </w:tc>
        <w:tc>
          <w:tcPr>
            <w:tcW w:w="2430" w:type="dxa"/>
            <w:tcBorders>
              <w:bottom w:val="single" w:sz="6" w:space="0" w:color="auto"/>
            </w:tcBorders>
          </w:tcPr>
          <w:p w:rsidR="001358C6" w:rsidRPr="00AB098E" w:rsidRDefault="001358C6" w:rsidP="00400B46">
            <w:pPr>
              <w:pStyle w:val="Caption"/>
              <w:tabs>
                <w:tab w:val="decimal" w:pos="-18"/>
              </w:tabs>
              <w:spacing w:before="60" w:after="60"/>
              <w:jc w:val="center"/>
              <w:rPr>
                <w:b w:val="0"/>
                <w:caps w:val="0"/>
                <w:strike/>
                <w:szCs w:val="22"/>
                <w:highlight w:val="yellow"/>
              </w:rPr>
            </w:pPr>
            <w:r w:rsidRPr="00AB098E">
              <w:rPr>
                <w:b w:val="0"/>
                <w:strike/>
                <w:szCs w:val="22"/>
                <w:highlight w:val="yellow"/>
              </w:rPr>
              <w:t>S</w:t>
            </w:r>
            <w:r w:rsidRPr="00AB098E">
              <w:rPr>
                <w:b w:val="0"/>
                <w:caps w:val="0"/>
                <w:strike/>
                <w:szCs w:val="22"/>
                <w:highlight w:val="yellow"/>
              </w:rPr>
              <w:t>tack Test</w:t>
            </w:r>
          </w:p>
        </w:tc>
        <w:tc>
          <w:tcPr>
            <w:tcW w:w="1417" w:type="dxa"/>
            <w:vMerge/>
            <w:vAlign w:val="center"/>
          </w:tcPr>
          <w:p w:rsidR="001358C6" w:rsidRPr="003178A6" w:rsidRDefault="001358C6" w:rsidP="00400B46">
            <w:pPr>
              <w:pStyle w:val="EndnoteText"/>
              <w:tabs>
                <w:tab w:val="decimal" w:pos="-18"/>
              </w:tabs>
              <w:spacing w:before="60" w:after="60"/>
              <w:jc w:val="center"/>
              <w:rPr>
                <w:sz w:val="22"/>
                <w:szCs w:val="22"/>
              </w:rPr>
            </w:pPr>
          </w:p>
        </w:tc>
      </w:tr>
      <w:tr w:rsidR="001358C6" w:rsidRPr="00891809" w:rsidTr="00400B46">
        <w:trPr>
          <w:trHeight w:val="188"/>
        </w:trPr>
        <w:tc>
          <w:tcPr>
            <w:tcW w:w="1170" w:type="dxa"/>
            <w:vMerge w:val="restart"/>
            <w:vAlign w:val="center"/>
          </w:tcPr>
          <w:p w:rsidR="001358C6" w:rsidRPr="00763D27" w:rsidRDefault="001358C6" w:rsidP="00400B46">
            <w:pPr>
              <w:spacing w:before="60" w:after="60"/>
              <w:jc w:val="center"/>
              <w:rPr>
                <w:sz w:val="22"/>
                <w:szCs w:val="22"/>
                <w:vertAlign w:val="superscript"/>
              </w:rPr>
            </w:pPr>
            <w:r w:rsidRPr="001131A4">
              <w:rPr>
                <w:sz w:val="22"/>
                <w:szCs w:val="22"/>
              </w:rPr>
              <w:t>PM/PM</w:t>
            </w:r>
            <w:r w:rsidRPr="001131A4">
              <w:rPr>
                <w:sz w:val="22"/>
                <w:szCs w:val="22"/>
                <w:vertAlign w:val="subscript"/>
              </w:rPr>
              <w:t>10</w:t>
            </w:r>
            <w:r w:rsidRPr="005C5A54">
              <w:rPr>
                <w:sz w:val="28"/>
                <w:szCs w:val="28"/>
                <w:vertAlign w:val="superscript"/>
              </w:rPr>
              <w:t>a</w:t>
            </w:r>
          </w:p>
        </w:tc>
        <w:tc>
          <w:tcPr>
            <w:tcW w:w="2603" w:type="dxa"/>
            <w:tcBorders>
              <w:bottom w:val="single" w:sz="6" w:space="0" w:color="auto"/>
            </w:tcBorders>
          </w:tcPr>
          <w:p w:rsidR="001358C6" w:rsidRPr="001131A4" w:rsidRDefault="001358C6" w:rsidP="00400B46">
            <w:pPr>
              <w:pStyle w:val="EndnoteText"/>
              <w:tabs>
                <w:tab w:val="decimal" w:pos="-18"/>
              </w:tabs>
              <w:spacing w:before="60" w:after="60"/>
              <w:jc w:val="center"/>
              <w:rPr>
                <w:sz w:val="22"/>
                <w:szCs w:val="22"/>
              </w:rPr>
            </w:pPr>
            <w:r>
              <w:rPr>
                <w:color w:val="000000"/>
                <w:sz w:val="22"/>
                <w:szCs w:val="22"/>
              </w:rPr>
              <w:t>10 % Opacity</w:t>
            </w:r>
          </w:p>
        </w:tc>
        <w:tc>
          <w:tcPr>
            <w:tcW w:w="1807" w:type="dxa"/>
            <w:tcBorders>
              <w:bottom w:val="single" w:sz="6" w:space="0" w:color="auto"/>
            </w:tcBorders>
          </w:tcPr>
          <w:p w:rsidR="001358C6" w:rsidRPr="001131A4" w:rsidRDefault="001358C6" w:rsidP="00400B46">
            <w:pPr>
              <w:pStyle w:val="EndnoteText"/>
              <w:tabs>
                <w:tab w:val="decimal" w:pos="-18"/>
              </w:tabs>
              <w:spacing w:before="60" w:after="60"/>
              <w:jc w:val="center"/>
              <w:rPr>
                <w:sz w:val="22"/>
                <w:szCs w:val="22"/>
              </w:rPr>
            </w:pPr>
            <w:r>
              <w:rPr>
                <w:sz w:val="22"/>
                <w:szCs w:val="22"/>
              </w:rPr>
              <w:t>6-minute block</w:t>
            </w:r>
          </w:p>
        </w:tc>
        <w:tc>
          <w:tcPr>
            <w:tcW w:w="2430" w:type="dxa"/>
            <w:tcBorders>
              <w:bottom w:val="single" w:sz="6" w:space="0" w:color="auto"/>
            </w:tcBorders>
          </w:tcPr>
          <w:p w:rsidR="001358C6" w:rsidRPr="001131A4" w:rsidRDefault="001358C6" w:rsidP="00400B46">
            <w:pPr>
              <w:pStyle w:val="Caption"/>
              <w:tabs>
                <w:tab w:val="decimal" w:pos="-18"/>
              </w:tabs>
              <w:spacing w:before="60" w:after="60"/>
              <w:jc w:val="center"/>
              <w:rPr>
                <w:b w:val="0"/>
                <w:caps w:val="0"/>
                <w:szCs w:val="22"/>
              </w:rPr>
            </w:pPr>
            <w:r>
              <w:rPr>
                <w:b w:val="0"/>
                <w:caps w:val="0"/>
                <w:szCs w:val="22"/>
              </w:rPr>
              <w:t>Visible Emissions Test</w:t>
            </w:r>
          </w:p>
        </w:tc>
        <w:tc>
          <w:tcPr>
            <w:tcW w:w="1417" w:type="dxa"/>
            <w:vMerge w:val="restart"/>
            <w:vAlign w:val="center"/>
          </w:tcPr>
          <w:p w:rsidR="001358C6" w:rsidRPr="001131A4" w:rsidRDefault="001358C6" w:rsidP="00400B46">
            <w:pPr>
              <w:pStyle w:val="EndnoteText"/>
              <w:tabs>
                <w:tab w:val="decimal" w:pos="-18"/>
              </w:tabs>
              <w:spacing w:before="60" w:after="60"/>
              <w:jc w:val="center"/>
              <w:rPr>
                <w:sz w:val="22"/>
                <w:szCs w:val="22"/>
              </w:rPr>
            </w:pPr>
            <w:r w:rsidRPr="001131A4">
              <w:rPr>
                <w:sz w:val="22"/>
                <w:szCs w:val="22"/>
              </w:rPr>
              <w:t>BACT</w:t>
            </w:r>
          </w:p>
        </w:tc>
      </w:tr>
      <w:tr w:rsidR="001358C6" w:rsidRPr="00891809" w:rsidTr="00400B46">
        <w:trPr>
          <w:trHeight w:val="187"/>
        </w:trPr>
        <w:tc>
          <w:tcPr>
            <w:tcW w:w="1170" w:type="dxa"/>
            <w:vMerge/>
            <w:vAlign w:val="center"/>
          </w:tcPr>
          <w:p w:rsidR="001358C6" w:rsidRPr="001131A4" w:rsidRDefault="001358C6" w:rsidP="00400B46">
            <w:pPr>
              <w:spacing w:before="60" w:after="60"/>
              <w:jc w:val="center"/>
              <w:rPr>
                <w:sz w:val="22"/>
                <w:szCs w:val="22"/>
              </w:rPr>
            </w:pPr>
          </w:p>
        </w:tc>
        <w:tc>
          <w:tcPr>
            <w:tcW w:w="2603" w:type="dxa"/>
            <w:tcBorders>
              <w:top w:val="single" w:sz="6" w:space="0" w:color="auto"/>
            </w:tcBorders>
          </w:tcPr>
          <w:p w:rsidR="001358C6" w:rsidRPr="001131A4" w:rsidRDefault="001358C6" w:rsidP="00400B46">
            <w:pPr>
              <w:pStyle w:val="EndnoteText"/>
              <w:tabs>
                <w:tab w:val="decimal" w:pos="-18"/>
              </w:tabs>
              <w:spacing w:before="60" w:after="60"/>
              <w:jc w:val="center"/>
              <w:rPr>
                <w:sz w:val="22"/>
                <w:szCs w:val="22"/>
              </w:rPr>
            </w:pPr>
            <w:r>
              <w:rPr>
                <w:color w:val="000000"/>
                <w:sz w:val="22"/>
                <w:szCs w:val="22"/>
              </w:rPr>
              <w:t xml:space="preserve">1.5 </w:t>
            </w:r>
            <w:r w:rsidRPr="001131A4">
              <w:rPr>
                <w:color w:val="000000"/>
                <w:sz w:val="22"/>
                <w:szCs w:val="22"/>
              </w:rPr>
              <w:t>gr S/100 SCF of gas</w:t>
            </w:r>
            <w:r>
              <w:rPr>
                <w:color w:val="000000"/>
                <w:sz w:val="22"/>
                <w:szCs w:val="22"/>
              </w:rPr>
              <w:t>/</w:t>
            </w:r>
            <w:r>
              <w:rPr>
                <w:color w:val="000000"/>
                <w:sz w:val="22"/>
                <w:szCs w:val="22"/>
              </w:rPr>
              <w:br/>
              <w:t>0.05 % S fuel oil</w:t>
            </w:r>
          </w:p>
        </w:tc>
        <w:tc>
          <w:tcPr>
            <w:tcW w:w="1807" w:type="dxa"/>
            <w:tcBorders>
              <w:top w:val="single" w:sz="6" w:space="0" w:color="auto"/>
            </w:tcBorders>
          </w:tcPr>
          <w:p w:rsidR="001358C6" w:rsidRPr="001131A4" w:rsidRDefault="001358C6" w:rsidP="00400B46">
            <w:pPr>
              <w:pStyle w:val="EndnoteText"/>
              <w:tabs>
                <w:tab w:val="decimal" w:pos="-18"/>
              </w:tabs>
              <w:spacing w:before="60" w:after="60"/>
              <w:jc w:val="center"/>
              <w:rPr>
                <w:sz w:val="22"/>
                <w:szCs w:val="22"/>
              </w:rPr>
            </w:pPr>
            <w:r>
              <w:rPr>
                <w:sz w:val="22"/>
                <w:szCs w:val="22"/>
              </w:rPr>
              <w:t>N/A</w:t>
            </w:r>
          </w:p>
        </w:tc>
        <w:tc>
          <w:tcPr>
            <w:tcW w:w="2430" w:type="dxa"/>
            <w:tcBorders>
              <w:top w:val="single" w:sz="6" w:space="0" w:color="auto"/>
            </w:tcBorders>
          </w:tcPr>
          <w:p w:rsidR="001358C6" w:rsidRPr="001131A4" w:rsidRDefault="001358C6" w:rsidP="00400B46">
            <w:pPr>
              <w:pStyle w:val="Caption"/>
              <w:tabs>
                <w:tab w:val="decimal" w:pos="-18"/>
              </w:tabs>
              <w:spacing w:before="60" w:after="60"/>
              <w:jc w:val="center"/>
              <w:rPr>
                <w:b w:val="0"/>
                <w:caps w:val="0"/>
                <w:szCs w:val="22"/>
              </w:rPr>
            </w:pPr>
            <w:r w:rsidRPr="001131A4">
              <w:rPr>
                <w:b w:val="0"/>
                <w:caps w:val="0"/>
                <w:szCs w:val="22"/>
              </w:rPr>
              <w:t>Record Keeping</w:t>
            </w:r>
          </w:p>
        </w:tc>
        <w:tc>
          <w:tcPr>
            <w:tcW w:w="1417" w:type="dxa"/>
            <w:vMerge/>
            <w:vAlign w:val="center"/>
          </w:tcPr>
          <w:p w:rsidR="001358C6" w:rsidRPr="001131A4" w:rsidRDefault="001358C6" w:rsidP="00400B46">
            <w:pPr>
              <w:pStyle w:val="EndnoteText"/>
              <w:tabs>
                <w:tab w:val="decimal" w:pos="-18"/>
              </w:tabs>
              <w:spacing w:before="60" w:after="60"/>
              <w:jc w:val="center"/>
              <w:rPr>
                <w:b/>
                <w:sz w:val="22"/>
                <w:szCs w:val="22"/>
              </w:rPr>
            </w:pPr>
          </w:p>
        </w:tc>
      </w:tr>
      <w:tr w:rsidR="001358C6" w:rsidRPr="00891809" w:rsidTr="00400B46">
        <w:trPr>
          <w:trHeight w:val="765"/>
        </w:trPr>
        <w:tc>
          <w:tcPr>
            <w:tcW w:w="1170" w:type="dxa"/>
            <w:vAlign w:val="center"/>
          </w:tcPr>
          <w:p w:rsidR="001358C6" w:rsidRPr="001131A4" w:rsidRDefault="001358C6" w:rsidP="00400B46">
            <w:pPr>
              <w:spacing w:before="60" w:after="60"/>
              <w:jc w:val="center"/>
              <w:rPr>
                <w:sz w:val="22"/>
                <w:szCs w:val="22"/>
              </w:rPr>
            </w:pPr>
            <w:r w:rsidRPr="001131A4">
              <w:rPr>
                <w:sz w:val="22"/>
                <w:szCs w:val="22"/>
              </w:rPr>
              <w:t>SO</w:t>
            </w:r>
            <w:r w:rsidRPr="001131A4">
              <w:rPr>
                <w:sz w:val="22"/>
                <w:szCs w:val="22"/>
                <w:vertAlign w:val="subscript"/>
              </w:rPr>
              <w:t>2</w:t>
            </w:r>
            <w:r>
              <w:rPr>
                <w:sz w:val="28"/>
                <w:szCs w:val="28"/>
                <w:vertAlign w:val="superscript"/>
              </w:rPr>
              <w:t>b</w:t>
            </w:r>
          </w:p>
        </w:tc>
        <w:tc>
          <w:tcPr>
            <w:tcW w:w="2603" w:type="dxa"/>
            <w:vAlign w:val="center"/>
          </w:tcPr>
          <w:p w:rsidR="001358C6" w:rsidRPr="001131A4" w:rsidRDefault="001358C6" w:rsidP="00400B46">
            <w:pPr>
              <w:pStyle w:val="EndnoteText"/>
              <w:tabs>
                <w:tab w:val="decimal" w:pos="-18"/>
              </w:tabs>
              <w:spacing w:before="60" w:after="60"/>
              <w:jc w:val="center"/>
              <w:rPr>
                <w:sz w:val="22"/>
                <w:szCs w:val="22"/>
              </w:rPr>
            </w:pPr>
            <w:r>
              <w:rPr>
                <w:color w:val="000000"/>
                <w:sz w:val="22"/>
                <w:szCs w:val="22"/>
              </w:rPr>
              <w:t>1.5</w:t>
            </w:r>
            <w:r w:rsidRPr="001131A4">
              <w:rPr>
                <w:color w:val="000000"/>
                <w:sz w:val="22"/>
                <w:szCs w:val="22"/>
              </w:rPr>
              <w:t xml:space="preserve"> gr S/100 SCF of gas</w:t>
            </w:r>
            <w:r>
              <w:rPr>
                <w:color w:val="000000"/>
                <w:sz w:val="22"/>
                <w:szCs w:val="22"/>
              </w:rPr>
              <w:t>/</w:t>
            </w:r>
            <w:r>
              <w:rPr>
                <w:color w:val="000000"/>
                <w:sz w:val="22"/>
                <w:szCs w:val="22"/>
              </w:rPr>
              <w:br/>
              <w:t>0.05 % S fuel oil</w:t>
            </w:r>
          </w:p>
        </w:tc>
        <w:tc>
          <w:tcPr>
            <w:tcW w:w="1807" w:type="dxa"/>
            <w:shd w:val="clear" w:color="auto" w:fill="auto"/>
            <w:vAlign w:val="center"/>
          </w:tcPr>
          <w:p w:rsidR="001358C6" w:rsidRPr="001131A4" w:rsidRDefault="001358C6" w:rsidP="00400B46">
            <w:pPr>
              <w:pStyle w:val="EndnoteText"/>
              <w:tabs>
                <w:tab w:val="decimal" w:pos="-18"/>
              </w:tabs>
              <w:spacing w:before="60" w:after="60"/>
              <w:jc w:val="center"/>
              <w:rPr>
                <w:sz w:val="22"/>
                <w:szCs w:val="22"/>
              </w:rPr>
            </w:pPr>
            <w:r w:rsidRPr="001131A4">
              <w:rPr>
                <w:sz w:val="22"/>
                <w:szCs w:val="22"/>
              </w:rPr>
              <w:t>N/A</w:t>
            </w:r>
          </w:p>
        </w:tc>
        <w:tc>
          <w:tcPr>
            <w:tcW w:w="2430" w:type="dxa"/>
            <w:shd w:val="clear" w:color="auto" w:fill="auto"/>
            <w:vAlign w:val="center"/>
          </w:tcPr>
          <w:p w:rsidR="001358C6" w:rsidRPr="001131A4" w:rsidRDefault="001358C6" w:rsidP="00400B46">
            <w:pPr>
              <w:pStyle w:val="EndnoteText"/>
              <w:tabs>
                <w:tab w:val="decimal" w:pos="-18"/>
              </w:tabs>
              <w:spacing w:before="60" w:after="60"/>
              <w:jc w:val="center"/>
              <w:rPr>
                <w:sz w:val="22"/>
                <w:szCs w:val="22"/>
              </w:rPr>
            </w:pPr>
            <w:r w:rsidRPr="001131A4">
              <w:rPr>
                <w:sz w:val="22"/>
                <w:szCs w:val="22"/>
              </w:rPr>
              <w:t>Record Keeping</w:t>
            </w:r>
          </w:p>
        </w:tc>
        <w:tc>
          <w:tcPr>
            <w:tcW w:w="1417" w:type="dxa"/>
            <w:vAlign w:val="center"/>
          </w:tcPr>
          <w:p w:rsidR="001358C6" w:rsidRPr="001131A4" w:rsidRDefault="001358C6" w:rsidP="00400B46">
            <w:pPr>
              <w:spacing w:before="60" w:after="60"/>
              <w:jc w:val="center"/>
              <w:rPr>
                <w:sz w:val="22"/>
                <w:szCs w:val="22"/>
              </w:rPr>
            </w:pPr>
            <w:r>
              <w:rPr>
                <w:sz w:val="22"/>
                <w:szCs w:val="22"/>
              </w:rPr>
              <w:t>PSD Avoidance</w:t>
            </w:r>
          </w:p>
        </w:tc>
      </w:tr>
    </w:tbl>
    <w:p w:rsidR="001358C6" w:rsidRPr="00A0025A" w:rsidRDefault="001358C6" w:rsidP="001358C6">
      <w:pPr>
        <w:numPr>
          <w:ilvl w:val="0"/>
          <w:numId w:val="11"/>
        </w:numPr>
        <w:suppressAutoHyphens/>
        <w:spacing w:before="120" w:after="120"/>
        <w:rPr>
          <w:sz w:val="22"/>
          <w:szCs w:val="22"/>
        </w:rPr>
      </w:pPr>
      <w:r w:rsidRPr="00A0025A">
        <w:rPr>
          <w:sz w:val="22"/>
          <w:szCs w:val="22"/>
        </w:rPr>
        <w:t xml:space="preserve">The fuel sulfur specifications combined with the efficient combustion design and operation of the </w:t>
      </w:r>
      <w:r>
        <w:rPr>
          <w:sz w:val="22"/>
          <w:szCs w:val="22"/>
        </w:rPr>
        <w:t>combustion</w:t>
      </w:r>
      <w:r w:rsidRPr="00A0025A">
        <w:rPr>
          <w:sz w:val="22"/>
          <w:szCs w:val="22"/>
        </w:rPr>
        <w:t xml:space="preserve"> turbine represent BACT for PM/PM</w:t>
      </w:r>
      <w:r w:rsidRPr="000071A9">
        <w:rPr>
          <w:sz w:val="22"/>
          <w:szCs w:val="22"/>
          <w:vertAlign w:val="subscript"/>
        </w:rPr>
        <w:t>10</w:t>
      </w:r>
      <w:r w:rsidRPr="00A0025A">
        <w:rPr>
          <w:sz w:val="22"/>
          <w:szCs w:val="22"/>
        </w:rPr>
        <w:t xml:space="preserve"> emissions.  Compliance with the visible emissions standard shall serve as </w:t>
      </w:r>
      <w:r>
        <w:rPr>
          <w:sz w:val="22"/>
          <w:szCs w:val="22"/>
        </w:rPr>
        <w:t xml:space="preserve">an </w:t>
      </w:r>
      <w:r w:rsidRPr="00A0025A">
        <w:rPr>
          <w:sz w:val="22"/>
          <w:szCs w:val="22"/>
        </w:rPr>
        <w:t>indicator of good combustion.</w:t>
      </w:r>
    </w:p>
    <w:p w:rsidR="001358C6" w:rsidRPr="00A0025A" w:rsidRDefault="001358C6" w:rsidP="001358C6">
      <w:pPr>
        <w:numPr>
          <w:ilvl w:val="0"/>
          <w:numId w:val="11"/>
        </w:numPr>
        <w:suppressAutoHyphens/>
        <w:spacing w:after="120"/>
        <w:rPr>
          <w:sz w:val="22"/>
          <w:szCs w:val="22"/>
        </w:rPr>
      </w:pPr>
      <w:r w:rsidRPr="00A0025A">
        <w:rPr>
          <w:sz w:val="22"/>
          <w:szCs w:val="22"/>
        </w:rPr>
        <w:t xml:space="preserve">The fuel sulfur specifications </w:t>
      </w:r>
      <w:r>
        <w:rPr>
          <w:sz w:val="22"/>
          <w:szCs w:val="22"/>
        </w:rPr>
        <w:t xml:space="preserve">and limited hours of operation </w:t>
      </w:r>
      <w:r w:rsidRPr="00A0025A">
        <w:rPr>
          <w:sz w:val="22"/>
          <w:szCs w:val="22"/>
        </w:rPr>
        <w:t>effectively limit the potential emissions of SO</w:t>
      </w:r>
      <w:r w:rsidRPr="000071A9">
        <w:rPr>
          <w:sz w:val="22"/>
          <w:szCs w:val="22"/>
          <w:vertAlign w:val="subscript"/>
        </w:rPr>
        <w:t>2</w:t>
      </w:r>
      <w:r>
        <w:rPr>
          <w:sz w:val="22"/>
          <w:szCs w:val="22"/>
        </w:rPr>
        <w:t xml:space="preserve"> and sulfuric acid mist (SAM)</w:t>
      </w:r>
      <w:r w:rsidRPr="00A0025A">
        <w:rPr>
          <w:sz w:val="22"/>
          <w:szCs w:val="22"/>
        </w:rPr>
        <w:t xml:space="preserve"> from the gas turbine.</w:t>
      </w:r>
    </w:p>
    <w:p w:rsidR="001358C6" w:rsidRPr="009803EA" w:rsidRDefault="001358C6" w:rsidP="001358C6">
      <w:pPr>
        <w:numPr>
          <w:ilvl w:val="0"/>
          <w:numId w:val="11"/>
        </w:numPr>
        <w:suppressAutoHyphens/>
        <w:spacing w:after="120"/>
        <w:rPr>
          <w:strike/>
          <w:sz w:val="22"/>
          <w:szCs w:val="22"/>
          <w:highlight w:val="yellow"/>
        </w:rPr>
      </w:pPr>
      <w:r w:rsidRPr="009803EA">
        <w:rPr>
          <w:strike/>
          <w:sz w:val="22"/>
          <w:szCs w:val="22"/>
          <w:highlight w:val="yellow"/>
        </w:rPr>
        <w:t>The mass emission rate standards are based on a turbine inlet condition of 59°F and 100 percent full load operation.  Mass emission rate may be adjusted from actual test conditions in accordance with the performance curves and/or equations on file with the Department.</w:t>
      </w:r>
    </w:p>
    <w:p w:rsidR="001358C6" w:rsidRPr="0053650A" w:rsidRDefault="001358C6" w:rsidP="001358C6">
      <w:pPr>
        <w:suppressAutoHyphens/>
        <w:spacing w:after="120"/>
        <w:ind w:left="360"/>
        <w:rPr>
          <w:i/>
          <w:sz w:val="22"/>
          <w:szCs w:val="22"/>
        </w:rPr>
      </w:pPr>
      <w:r>
        <w:rPr>
          <w:i/>
          <w:sz w:val="22"/>
          <w:szCs w:val="22"/>
        </w:rPr>
        <w:t>{Permitting Note:  In combination with the annual restriction on hours of operation, the above emissions standards effectively limit annual potential emissions from the combustion turbine to:  174.5 tons/year of NO</w:t>
      </w:r>
      <w:r>
        <w:rPr>
          <w:i/>
          <w:sz w:val="22"/>
          <w:szCs w:val="22"/>
          <w:vertAlign w:val="subscript"/>
        </w:rPr>
        <w:t>X,</w:t>
      </w:r>
      <w:r w:rsidRPr="00FC0415">
        <w:rPr>
          <w:i/>
          <w:sz w:val="22"/>
          <w:szCs w:val="22"/>
        </w:rPr>
        <w:t>,</w:t>
      </w:r>
      <w:r>
        <w:rPr>
          <w:i/>
          <w:sz w:val="22"/>
          <w:szCs w:val="22"/>
        </w:rPr>
        <w:t xml:space="preserve"> 34.5 tons/year of PM/PM</w:t>
      </w:r>
      <w:r>
        <w:rPr>
          <w:i/>
          <w:sz w:val="22"/>
          <w:szCs w:val="22"/>
          <w:vertAlign w:val="subscript"/>
        </w:rPr>
        <w:t>10</w:t>
      </w:r>
      <w:r>
        <w:rPr>
          <w:i/>
          <w:sz w:val="22"/>
          <w:szCs w:val="22"/>
        </w:rPr>
        <w:t>, and 37.1 tons/year of SO</w:t>
      </w:r>
      <w:r>
        <w:rPr>
          <w:i/>
          <w:sz w:val="22"/>
          <w:szCs w:val="22"/>
          <w:vertAlign w:val="subscript"/>
        </w:rPr>
        <w:t>2</w:t>
      </w:r>
      <w:r>
        <w:rPr>
          <w:i/>
          <w:sz w:val="22"/>
          <w:szCs w:val="22"/>
        </w:rPr>
        <w:t>.}</w:t>
      </w:r>
    </w:p>
    <w:p w:rsidR="001358C6" w:rsidRDefault="001358C6" w:rsidP="001358C6">
      <w:pPr>
        <w:spacing w:after="120"/>
        <w:ind w:left="360"/>
        <w:rPr>
          <w:color w:val="000000"/>
          <w:sz w:val="22"/>
          <w:szCs w:val="22"/>
        </w:rPr>
      </w:pPr>
      <w:r w:rsidRPr="003450C0">
        <w:rPr>
          <w:color w:val="000000"/>
          <w:sz w:val="22"/>
          <w:szCs w:val="22"/>
        </w:rPr>
        <w:t>[</w:t>
      </w:r>
      <w:r w:rsidRPr="00AF2C05">
        <w:rPr>
          <w:sz w:val="22"/>
          <w:szCs w:val="22"/>
        </w:rPr>
        <w:t>Rules 62-4.070(3)</w:t>
      </w:r>
      <w:r>
        <w:rPr>
          <w:sz w:val="22"/>
          <w:szCs w:val="22"/>
        </w:rPr>
        <w:t xml:space="preserve">, </w:t>
      </w:r>
      <w:r w:rsidRPr="003450C0">
        <w:rPr>
          <w:sz w:val="22"/>
          <w:szCs w:val="22"/>
        </w:rPr>
        <w:t>62-210.200</w:t>
      </w:r>
      <w:r>
        <w:rPr>
          <w:sz w:val="22"/>
          <w:szCs w:val="22"/>
        </w:rPr>
        <w:t xml:space="preserve"> </w:t>
      </w:r>
      <w:r w:rsidRPr="003450C0">
        <w:rPr>
          <w:sz w:val="22"/>
          <w:szCs w:val="22"/>
        </w:rPr>
        <w:t>(</w:t>
      </w:r>
      <w:r>
        <w:rPr>
          <w:sz w:val="22"/>
          <w:szCs w:val="22"/>
        </w:rPr>
        <w:t>BACT),</w:t>
      </w:r>
      <w:r w:rsidRPr="00AF2C05">
        <w:rPr>
          <w:sz w:val="22"/>
          <w:szCs w:val="22"/>
        </w:rPr>
        <w:t xml:space="preserve"> 62-212.400(</w:t>
      </w:r>
      <w:r>
        <w:rPr>
          <w:sz w:val="22"/>
          <w:szCs w:val="22"/>
        </w:rPr>
        <w:t>PSD and PSD Avoidance</w:t>
      </w:r>
      <w:r w:rsidRPr="00AF2C05">
        <w:rPr>
          <w:sz w:val="22"/>
          <w:szCs w:val="22"/>
        </w:rPr>
        <w:t>), F.A.C</w:t>
      </w:r>
      <w:r>
        <w:rPr>
          <w:sz w:val="22"/>
          <w:szCs w:val="22"/>
        </w:rPr>
        <w:t xml:space="preserve">; 40 CFR 60, Subpart KKKK; and, </w:t>
      </w:r>
      <w:r w:rsidRPr="001C6418">
        <w:rPr>
          <w:sz w:val="22"/>
          <w:szCs w:val="22"/>
        </w:rPr>
        <w:t>Applicants Request</w:t>
      </w:r>
      <w:r>
        <w:rPr>
          <w:sz w:val="22"/>
          <w:szCs w:val="22"/>
        </w:rPr>
        <w:t>]</w:t>
      </w:r>
    </w:p>
    <w:p w:rsidR="00F1678F" w:rsidRPr="00F1678F" w:rsidRDefault="00F1678F" w:rsidP="00F1678F">
      <w:pPr>
        <w:pStyle w:val="ListParagraph"/>
        <w:spacing w:after="120"/>
        <w:rPr>
          <w:sz w:val="22"/>
          <w:szCs w:val="22"/>
        </w:rPr>
      </w:pPr>
    </w:p>
    <w:p w:rsidR="00F1678F" w:rsidRPr="00F1678F" w:rsidRDefault="00F1678F" w:rsidP="00F1678F">
      <w:pPr>
        <w:pStyle w:val="ListParagraph"/>
        <w:numPr>
          <w:ilvl w:val="0"/>
          <w:numId w:val="6"/>
        </w:numPr>
        <w:spacing w:after="120"/>
        <w:rPr>
          <w:sz w:val="22"/>
          <w:szCs w:val="22"/>
        </w:rPr>
      </w:pPr>
      <w:r w:rsidRPr="00F1678F">
        <w:rPr>
          <w:sz w:val="22"/>
          <w:szCs w:val="22"/>
          <w:u w:val="single"/>
        </w:rPr>
        <w:t>Applicant’s Requested Change</w:t>
      </w:r>
      <w:r w:rsidRPr="00F1678F">
        <w:rPr>
          <w:sz w:val="22"/>
          <w:szCs w:val="22"/>
        </w:rPr>
        <w:t>:</w:t>
      </w:r>
    </w:p>
    <w:p w:rsidR="00F1678F" w:rsidRPr="000D5003" w:rsidRDefault="00F1678F" w:rsidP="00F1678F">
      <w:pPr>
        <w:spacing w:after="120"/>
        <w:ind w:left="450"/>
        <w:rPr>
          <w:sz w:val="22"/>
          <w:szCs w:val="22"/>
        </w:rPr>
      </w:pPr>
      <w:r>
        <w:rPr>
          <w:sz w:val="23"/>
          <w:szCs w:val="23"/>
        </w:rPr>
        <w:t xml:space="preserve">16.  </w:t>
      </w:r>
      <w:r w:rsidRPr="000D5003">
        <w:rPr>
          <w:color w:val="000000"/>
          <w:sz w:val="22"/>
          <w:szCs w:val="22"/>
          <w:u w:val="single"/>
        </w:rPr>
        <w:t>Testing Requirements</w:t>
      </w:r>
      <w:r w:rsidRPr="000D5003">
        <w:rPr>
          <w:color w:val="000000"/>
          <w:sz w:val="22"/>
          <w:szCs w:val="22"/>
        </w:rPr>
        <w:t xml:space="preserve">:  </w:t>
      </w:r>
      <w:r w:rsidRPr="000D5003">
        <w:rPr>
          <w:sz w:val="22"/>
          <w:szCs w:val="22"/>
        </w:rPr>
        <w:t xml:space="preserve">Initial tests shall be conducted between 90% and 100% of permitted capacity; otherwise, this permit shall be modified to reflect the true maximum capacity as constructed.  Subsequent annual tests shall be conducted between 90% and 100% of permitted capacity in accordance with the requirements of Rule 62-297.310(2), F.A.C.  Tests shall be conducted for each pollutant </w:t>
      </w:r>
      <w:r>
        <w:rPr>
          <w:sz w:val="22"/>
          <w:szCs w:val="22"/>
        </w:rPr>
        <w:t>while firing each fuel</w:t>
      </w:r>
      <w:r w:rsidRPr="00D438BD">
        <w:rPr>
          <w:sz w:val="22"/>
          <w:szCs w:val="22"/>
        </w:rPr>
        <w:t xml:space="preserve"> in the CT.</w:t>
      </w:r>
      <w:r w:rsidRPr="000D5003">
        <w:rPr>
          <w:sz w:val="22"/>
          <w:szCs w:val="22"/>
        </w:rPr>
        <w:t xml:space="preserve"> </w:t>
      </w:r>
      <w:r>
        <w:rPr>
          <w:sz w:val="22"/>
          <w:szCs w:val="22"/>
        </w:rPr>
        <w:t xml:space="preserve"> </w:t>
      </w:r>
      <w:r w:rsidRPr="003450C0">
        <w:rPr>
          <w:sz w:val="22"/>
          <w:szCs w:val="22"/>
        </w:rPr>
        <w:t>For each run dur</w:t>
      </w:r>
      <w:r>
        <w:rPr>
          <w:sz w:val="22"/>
          <w:szCs w:val="22"/>
        </w:rPr>
        <w:t>ing tests for visible emissions</w:t>
      </w:r>
      <w:r w:rsidRPr="003450C0">
        <w:rPr>
          <w:sz w:val="22"/>
          <w:szCs w:val="22"/>
        </w:rPr>
        <w:t>, emissions of NO</w:t>
      </w:r>
      <w:r w:rsidRPr="003450C0">
        <w:rPr>
          <w:sz w:val="22"/>
          <w:szCs w:val="22"/>
          <w:vertAlign w:val="subscript"/>
        </w:rPr>
        <w:t>X</w:t>
      </w:r>
      <w:r w:rsidRPr="003450C0">
        <w:rPr>
          <w:sz w:val="22"/>
          <w:szCs w:val="22"/>
        </w:rPr>
        <w:t xml:space="preserve"> recorded by the CEMS shall </w:t>
      </w:r>
      <w:r w:rsidRPr="00F21154">
        <w:rPr>
          <w:sz w:val="22"/>
          <w:szCs w:val="22"/>
        </w:rPr>
        <w:t>also be reported</w:t>
      </w:r>
      <w:r>
        <w:rPr>
          <w:sz w:val="22"/>
          <w:szCs w:val="22"/>
        </w:rPr>
        <w:t xml:space="preserve">.  </w:t>
      </w:r>
      <w:r w:rsidRPr="00F21154">
        <w:rPr>
          <w:color w:val="000000"/>
          <w:sz w:val="22"/>
          <w:szCs w:val="22"/>
        </w:rPr>
        <w:t xml:space="preserve">Data collected from the reference method during </w:t>
      </w:r>
      <w:r>
        <w:rPr>
          <w:color w:val="000000"/>
          <w:sz w:val="22"/>
          <w:szCs w:val="22"/>
        </w:rPr>
        <w:t xml:space="preserve">the required </w:t>
      </w:r>
      <w:r w:rsidRPr="00F21154">
        <w:rPr>
          <w:color w:val="000000"/>
          <w:sz w:val="22"/>
          <w:szCs w:val="22"/>
        </w:rPr>
        <w:t xml:space="preserve">CEMS quality </w:t>
      </w:r>
      <w:r w:rsidRPr="00FB32C6">
        <w:rPr>
          <w:color w:val="000000"/>
          <w:sz w:val="22"/>
          <w:szCs w:val="22"/>
        </w:rPr>
        <w:t xml:space="preserve">assurance RATA tests </w:t>
      </w:r>
      <w:r w:rsidRPr="00FB32C6">
        <w:rPr>
          <w:sz w:val="22"/>
          <w:szCs w:val="22"/>
        </w:rPr>
        <w:t xml:space="preserve">may substitute for annual </w:t>
      </w:r>
      <w:r w:rsidRPr="00132EC0">
        <w:rPr>
          <w:sz w:val="22"/>
          <w:szCs w:val="22"/>
          <w:highlight w:val="yellow"/>
          <w:u w:val="double"/>
        </w:rPr>
        <w:t>and renewal</w:t>
      </w:r>
      <w:r>
        <w:rPr>
          <w:sz w:val="22"/>
          <w:szCs w:val="22"/>
        </w:rPr>
        <w:t xml:space="preserve"> </w:t>
      </w:r>
      <w:r w:rsidRPr="00FB32C6">
        <w:rPr>
          <w:sz w:val="22"/>
          <w:szCs w:val="22"/>
        </w:rPr>
        <w:t xml:space="preserve">compliance tests for </w:t>
      </w:r>
      <w:r w:rsidRPr="00FB32C6">
        <w:rPr>
          <w:color w:val="000000"/>
          <w:sz w:val="22"/>
          <w:szCs w:val="22"/>
        </w:rPr>
        <w:t>NO</w:t>
      </w:r>
      <w:r w:rsidRPr="00FB32C6">
        <w:rPr>
          <w:color w:val="000000"/>
          <w:sz w:val="22"/>
          <w:szCs w:val="22"/>
          <w:vertAlign w:val="subscript"/>
        </w:rPr>
        <w:t>X</w:t>
      </w:r>
      <w:r w:rsidRPr="00FB32C6">
        <w:rPr>
          <w:sz w:val="22"/>
          <w:szCs w:val="22"/>
        </w:rPr>
        <w:t xml:space="preserve">, provided the owner or operator indicates this intent in the submitted test protocol, and obtains approval prior to testing.  If </w:t>
      </w:r>
      <w:r>
        <w:rPr>
          <w:sz w:val="22"/>
          <w:szCs w:val="22"/>
        </w:rPr>
        <w:t xml:space="preserve">the RATA is conducted at less than </w:t>
      </w:r>
      <w:r w:rsidRPr="00FB32C6">
        <w:rPr>
          <w:sz w:val="22"/>
          <w:szCs w:val="22"/>
        </w:rPr>
        <w:t>permitted capacity</w:t>
      </w:r>
      <w:r>
        <w:rPr>
          <w:sz w:val="22"/>
          <w:szCs w:val="22"/>
        </w:rPr>
        <w:t>, and the data is used for annual compliance</w:t>
      </w:r>
      <w:r w:rsidRPr="00FB32C6">
        <w:rPr>
          <w:sz w:val="22"/>
          <w:szCs w:val="22"/>
        </w:rPr>
        <w:t xml:space="preserve">, </w:t>
      </w:r>
      <w:r>
        <w:rPr>
          <w:sz w:val="22"/>
          <w:szCs w:val="22"/>
        </w:rPr>
        <w:t xml:space="preserve">the </w:t>
      </w:r>
      <w:r>
        <w:rPr>
          <w:sz w:val="22"/>
          <w:szCs w:val="22"/>
        </w:rPr>
        <w:lastRenderedPageBreak/>
        <w:t>requirements of 62-297.310(2) (Operating Rate During Testing) still apply</w:t>
      </w:r>
      <w:r w:rsidRPr="00FB32C6">
        <w:rPr>
          <w:sz w:val="22"/>
          <w:szCs w:val="22"/>
        </w:rPr>
        <w:t xml:space="preserve">.  </w:t>
      </w:r>
      <w:r w:rsidRPr="00A0025A">
        <w:rPr>
          <w:sz w:val="22"/>
          <w:szCs w:val="22"/>
        </w:rPr>
        <w:t>The mass emission rate standards are based on a turbine inlet condition of 59°F</w:t>
      </w:r>
      <w:r>
        <w:rPr>
          <w:sz w:val="22"/>
          <w:szCs w:val="22"/>
        </w:rPr>
        <w:t xml:space="preserve"> and</w:t>
      </w:r>
      <w:r w:rsidRPr="00A0025A">
        <w:rPr>
          <w:sz w:val="22"/>
          <w:szCs w:val="22"/>
        </w:rPr>
        <w:t xml:space="preserve"> </w:t>
      </w:r>
      <w:r>
        <w:rPr>
          <w:sz w:val="22"/>
          <w:szCs w:val="22"/>
        </w:rPr>
        <w:t>100 percent full load operation</w:t>
      </w:r>
      <w:r w:rsidRPr="00A0025A">
        <w:rPr>
          <w:sz w:val="22"/>
          <w:szCs w:val="22"/>
        </w:rPr>
        <w:t>.  Mass emission rate may be adjusted from actual test conditions in accordance with the performance curves and/or equations on file with the Department.</w:t>
      </w:r>
      <w:r>
        <w:rPr>
          <w:sz w:val="22"/>
          <w:szCs w:val="22"/>
        </w:rPr>
        <w:t xml:space="preserve">  [Rule 62-297.310(2), and (7)(a)</w:t>
      </w:r>
      <w:r w:rsidRPr="000D5003">
        <w:rPr>
          <w:sz w:val="22"/>
          <w:szCs w:val="22"/>
        </w:rPr>
        <w:t>, F.A.C.; 40 CFR 60.8</w:t>
      </w:r>
      <w:r>
        <w:rPr>
          <w:sz w:val="22"/>
          <w:szCs w:val="22"/>
        </w:rPr>
        <w:t xml:space="preserve">; and, </w:t>
      </w:r>
      <w:r w:rsidRPr="001C6418">
        <w:rPr>
          <w:sz w:val="22"/>
          <w:szCs w:val="22"/>
        </w:rPr>
        <w:t>Applicants Request</w:t>
      </w:r>
      <w:r w:rsidRPr="000D5003">
        <w:rPr>
          <w:sz w:val="22"/>
          <w:szCs w:val="22"/>
        </w:rPr>
        <w:t>]</w:t>
      </w:r>
    </w:p>
    <w:p w:rsidR="00F1678F" w:rsidRPr="00F1678F" w:rsidRDefault="00F1678F" w:rsidP="00F1678F">
      <w:pPr>
        <w:autoSpaceDE w:val="0"/>
        <w:autoSpaceDN w:val="0"/>
        <w:adjustRightInd w:val="0"/>
        <w:spacing w:after="120"/>
        <w:ind w:left="360"/>
        <w:rPr>
          <w:sz w:val="22"/>
          <w:szCs w:val="22"/>
          <w:u w:val="single"/>
        </w:rPr>
      </w:pPr>
    </w:p>
    <w:p w:rsidR="00F1678F" w:rsidRPr="00F1678F" w:rsidRDefault="00F1678F" w:rsidP="00F1678F">
      <w:pPr>
        <w:pStyle w:val="ListParagraph"/>
        <w:spacing w:after="120"/>
        <w:ind w:left="360"/>
        <w:rPr>
          <w:sz w:val="22"/>
          <w:szCs w:val="22"/>
        </w:rPr>
      </w:pPr>
      <w:r w:rsidRPr="00F1678F">
        <w:rPr>
          <w:sz w:val="22"/>
          <w:szCs w:val="22"/>
          <w:u w:val="single"/>
        </w:rPr>
        <w:t>Department’s Response</w:t>
      </w:r>
      <w:r w:rsidRPr="00F1678F">
        <w:rPr>
          <w:sz w:val="22"/>
          <w:szCs w:val="22"/>
        </w:rPr>
        <w:t>:</w:t>
      </w:r>
    </w:p>
    <w:p w:rsidR="00F1678F" w:rsidRPr="00F1678F" w:rsidRDefault="00F1678F" w:rsidP="00F1678F">
      <w:pPr>
        <w:pStyle w:val="ListParagraph"/>
        <w:spacing w:after="120"/>
        <w:rPr>
          <w:sz w:val="22"/>
          <w:szCs w:val="22"/>
        </w:rPr>
      </w:pPr>
      <w:r w:rsidRPr="00F1678F">
        <w:rPr>
          <w:sz w:val="22"/>
          <w:szCs w:val="22"/>
        </w:rPr>
        <w:t>The Department agrees to the requested change.</w:t>
      </w:r>
    </w:p>
    <w:p w:rsidR="00F1678F" w:rsidRPr="00F1678F" w:rsidRDefault="00F1678F" w:rsidP="00F1678F">
      <w:pPr>
        <w:pStyle w:val="ListParagraph"/>
        <w:spacing w:after="120"/>
        <w:rPr>
          <w:sz w:val="22"/>
          <w:szCs w:val="22"/>
        </w:rPr>
      </w:pPr>
    </w:p>
    <w:p w:rsidR="00F1678F" w:rsidRPr="00F1678F" w:rsidRDefault="00F1678F" w:rsidP="00F1678F">
      <w:pPr>
        <w:pStyle w:val="ListParagraph"/>
        <w:numPr>
          <w:ilvl w:val="0"/>
          <w:numId w:val="6"/>
        </w:numPr>
        <w:spacing w:after="120"/>
        <w:rPr>
          <w:sz w:val="22"/>
          <w:szCs w:val="22"/>
        </w:rPr>
      </w:pPr>
      <w:r w:rsidRPr="00F1678F">
        <w:rPr>
          <w:sz w:val="22"/>
          <w:szCs w:val="22"/>
          <w:u w:val="single"/>
        </w:rPr>
        <w:t>Applicant’s Requested Change</w:t>
      </w:r>
      <w:r w:rsidRPr="00F1678F">
        <w:rPr>
          <w:sz w:val="22"/>
          <w:szCs w:val="22"/>
        </w:rPr>
        <w:t>:</w:t>
      </w:r>
    </w:p>
    <w:p w:rsidR="00F1678F" w:rsidRDefault="00F1678F" w:rsidP="00F1678F">
      <w:pPr>
        <w:spacing w:after="120"/>
        <w:ind w:left="360"/>
        <w:rPr>
          <w:sz w:val="22"/>
          <w:szCs w:val="22"/>
        </w:rPr>
      </w:pPr>
      <w:r>
        <w:rPr>
          <w:sz w:val="23"/>
          <w:szCs w:val="23"/>
        </w:rPr>
        <w:t>18</w:t>
      </w:r>
      <w:r w:rsidRPr="00F1678F">
        <w:rPr>
          <w:sz w:val="23"/>
          <w:szCs w:val="23"/>
        </w:rPr>
        <w:t xml:space="preserve">.  </w:t>
      </w:r>
      <w:r>
        <w:rPr>
          <w:sz w:val="22"/>
          <w:szCs w:val="22"/>
          <w:u w:val="single"/>
        </w:rPr>
        <w:t>Subsequent Complianc</w:t>
      </w:r>
      <w:r w:rsidRPr="003450C0">
        <w:rPr>
          <w:sz w:val="22"/>
          <w:szCs w:val="22"/>
          <w:u w:val="single"/>
        </w:rPr>
        <w:t>e Test</w:t>
      </w:r>
      <w:r>
        <w:rPr>
          <w:sz w:val="22"/>
          <w:szCs w:val="22"/>
          <w:u w:val="single"/>
        </w:rPr>
        <w:t>ing</w:t>
      </w:r>
      <w:r w:rsidRPr="003450C0">
        <w:rPr>
          <w:sz w:val="22"/>
          <w:szCs w:val="22"/>
        </w:rPr>
        <w:t xml:space="preserve">:  </w:t>
      </w:r>
      <w:r>
        <w:rPr>
          <w:sz w:val="22"/>
          <w:szCs w:val="22"/>
        </w:rPr>
        <w:t>Annual compliance tests for NO</w:t>
      </w:r>
      <w:r>
        <w:rPr>
          <w:sz w:val="22"/>
          <w:szCs w:val="22"/>
          <w:vertAlign w:val="subscript"/>
        </w:rPr>
        <w:t>X</w:t>
      </w:r>
      <w:r>
        <w:rPr>
          <w:sz w:val="22"/>
          <w:szCs w:val="22"/>
        </w:rPr>
        <w:t>, and visible emissions shall be conducted d</w:t>
      </w:r>
      <w:r w:rsidRPr="003450C0">
        <w:rPr>
          <w:sz w:val="22"/>
          <w:szCs w:val="22"/>
        </w:rPr>
        <w:t>uring each federal fiscal year (October 1</w:t>
      </w:r>
      <w:r w:rsidRPr="003450C0">
        <w:rPr>
          <w:sz w:val="22"/>
          <w:szCs w:val="22"/>
          <w:vertAlign w:val="superscript"/>
        </w:rPr>
        <w:t>st</w:t>
      </w:r>
      <w:r w:rsidRPr="003450C0">
        <w:rPr>
          <w:sz w:val="22"/>
          <w:szCs w:val="22"/>
        </w:rPr>
        <w:t>, to September 30</w:t>
      </w:r>
      <w:r w:rsidRPr="003450C0">
        <w:rPr>
          <w:sz w:val="22"/>
          <w:szCs w:val="22"/>
          <w:vertAlign w:val="superscript"/>
        </w:rPr>
        <w:t>th</w:t>
      </w:r>
      <w:r>
        <w:rPr>
          <w:sz w:val="22"/>
          <w:szCs w:val="22"/>
        </w:rPr>
        <w:t xml:space="preserve">).  If normal operation on fuel oil is less than 400 hours per calendar year, then subsequent compliance testing </w:t>
      </w:r>
      <w:r w:rsidRPr="00BB671A">
        <w:rPr>
          <w:sz w:val="22"/>
          <w:szCs w:val="22"/>
          <w:highlight w:val="yellow"/>
          <w:u w:val="double"/>
        </w:rPr>
        <w:t>(annual or renewal)</w:t>
      </w:r>
      <w:r>
        <w:rPr>
          <w:sz w:val="22"/>
          <w:szCs w:val="22"/>
        </w:rPr>
        <w:t xml:space="preserve"> on fuel oil is not required for that year.  If normal operation on fuel oil exceeds 400 hours per year, the Department shall require compliance testing for </w:t>
      </w:r>
      <w:r>
        <w:rPr>
          <w:color w:val="000000"/>
          <w:sz w:val="22"/>
          <w:szCs w:val="22"/>
        </w:rPr>
        <w:t>NO</w:t>
      </w:r>
      <w:r>
        <w:rPr>
          <w:color w:val="000000"/>
          <w:sz w:val="22"/>
          <w:szCs w:val="22"/>
          <w:vertAlign w:val="subscript"/>
        </w:rPr>
        <w:t>X</w:t>
      </w:r>
      <w:r>
        <w:rPr>
          <w:sz w:val="22"/>
          <w:szCs w:val="22"/>
        </w:rPr>
        <w:t xml:space="preserve"> and visible emissions while firing fuel oil.  </w:t>
      </w:r>
      <w:r w:rsidRPr="00D90283">
        <w:rPr>
          <w:sz w:val="23"/>
          <w:szCs w:val="23"/>
          <w:highlight w:val="yellow"/>
          <w:u w:val="double"/>
        </w:rPr>
        <w:t>If data collected from the reference method during the required CEMS quality assurance RATA test are substituted for annual or renewal compliance tests for NO</w:t>
      </w:r>
      <w:r w:rsidRPr="00A60A4D">
        <w:rPr>
          <w:sz w:val="23"/>
          <w:szCs w:val="23"/>
          <w:highlight w:val="yellow"/>
          <w:u w:val="double"/>
          <w:vertAlign w:val="subscript"/>
        </w:rPr>
        <w:t>X</w:t>
      </w:r>
      <w:r w:rsidRPr="00D90283">
        <w:rPr>
          <w:sz w:val="23"/>
          <w:szCs w:val="23"/>
          <w:highlight w:val="yellow"/>
          <w:u w:val="double"/>
        </w:rPr>
        <w:t xml:space="preserve">, then no separate annual or renewal compliance testing </w:t>
      </w:r>
      <w:r>
        <w:rPr>
          <w:sz w:val="23"/>
          <w:szCs w:val="23"/>
          <w:highlight w:val="yellow"/>
          <w:u w:val="double"/>
        </w:rPr>
        <w:t xml:space="preserve">for the fuel fired while conducting the </w:t>
      </w:r>
      <w:r w:rsidRPr="00D90283">
        <w:rPr>
          <w:sz w:val="23"/>
          <w:szCs w:val="23"/>
          <w:highlight w:val="yellow"/>
          <w:u w:val="double"/>
        </w:rPr>
        <w:t>CEMS quality assurance RATA test shall be required.</w:t>
      </w:r>
      <w:r>
        <w:rPr>
          <w:sz w:val="22"/>
          <w:szCs w:val="22"/>
        </w:rPr>
        <w:br/>
      </w:r>
      <w:r w:rsidRPr="003450C0">
        <w:rPr>
          <w:sz w:val="22"/>
          <w:szCs w:val="22"/>
        </w:rPr>
        <w:t xml:space="preserve">[Rules </w:t>
      </w:r>
      <w:r>
        <w:rPr>
          <w:sz w:val="22"/>
          <w:szCs w:val="22"/>
        </w:rPr>
        <w:t xml:space="preserve">62-4.070, </w:t>
      </w:r>
      <w:r w:rsidRPr="003450C0">
        <w:rPr>
          <w:sz w:val="22"/>
          <w:szCs w:val="22"/>
        </w:rPr>
        <w:t>62-21</w:t>
      </w:r>
      <w:r>
        <w:rPr>
          <w:sz w:val="22"/>
          <w:szCs w:val="22"/>
        </w:rPr>
        <w:t>0</w:t>
      </w:r>
      <w:r w:rsidRPr="003450C0">
        <w:rPr>
          <w:sz w:val="22"/>
          <w:szCs w:val="22"/>
        </w:rPr>
        <w:t>.</w:t>
      </w:r>
      <w:r>
        <w:rPr>
          <w:sz w:val="22"/>
          <w:szCs w:val="22"/>
        </w:rPr>
        <w:t>2</w:t>
      </w:r>
      <w:r w:rsidRPr="003450C0">
        <w:rPr>
          <w:sz w:val="22"/>
          <w:szCs w:val="22"/>
        </w:rPr>
        <w:t>00(BACT)</w:t>
      </w:r>
      <w:r>
        <w:rPr>
          <w:sz w:val="22"/>
          <w:szCs w:val="22"/>
        </w:rPr>
        <w:t xml:space="preserve">, and </w:t>
      </w:r>
      <w:r w:rsidRPr="003450C0">
        <w:rPr>
          <w:sz w:val="22"/>
          <w:szCs w:val="22"/>
        </w:rPr>
        <w:t>62-297.310(7)(a)4, F.A.C.</w:t>
      </w:r>
      <w:r>
        <w:rPr>
          <w:sz w:val="22"/>
          <w:szCs w:val="22"/>
        </w:rPr>
        <w:t xml:space="preserve">; and, </w:t>
      </w:r>
      <w:r w:rsidRPr="001C6418">
        <w:rPr>
          <w:sz w:val="22"/>
          <w:szCs w:val="22"/>
        </w:rPr>
        <w:t>Applicants Request</w:t>
      </w:r>
      <w:r w:rsidRPr="003450C0">
        <w:rPr>
          <w:sz w:val="22"/>
          <w:szCs w:val="22"/>
        </w:rPr>
        <w:t>]</w:t>
      </w:r>
    </w:p>
    <w:p w:rsidR="00F1678F" w:rsidRPr="00F1678F" w:rsidRDefault="00F1678F" w:rsidP="00F1678F">
      <w:pPr>
        <w:autoSpaceDE w:val="0"/>
        <w:autoSpaceDN w:val="0"/>
        <w:adjustRightInd w:val="0"/>
        <w:spacing w:after="120"/>
        <w:ind w:left="360"/>
        <w:rPr>
          <w:sz w:val="22"/>
          <w:szCs w:val="22"/>
          <w:u w:val="single"/>
        </w:rPr>
      </w:pPr>
    </w:p>
    <w:p w:rsidR="00F1678F" w:rsidRPr="00F1678F" w:rsidRDefault="00F1678F" w:rsidP="00F1678F">
      <w:pPr>
        <w:pStyle w:val="ListParagraph"/>
        <w:spacing w:after="120"/>
        <w:ind w:left="360"/>
        <w:rPr>
          <w:sz w:val="22"/>
          <w:szCs w:val="22"/>
        </w:rPr>
      </w:pPr>
      <w:r w:rsidRPr="00F1678F">
        <w:rPr>
          <w:sz w:val="22"/>
          <w:szCs w:val="22"/>
          <w:u w:val="single"/>
        </w:rPr>
        <w:t>Department’s Response</w:t>
      </w:r>
      <w:r w:rsidRPr="00F1678F">
        <w:rPr>
          <w:sz w:val="22"/>
          <w:szCs w:val="22"/>
        </w:rPr>
        <w:t>:</w:t>
      </w:r>
    </w:p>
    <w:p w:rsidR="00F1678F" w:rsidRPr="00F1678F" w:rsidRDefault="00F1678F" w:rsidP="00F1678F">
      <w:pPr>
        <w:pStyle w:val="ListParagraph"/>
        <w:spacing w:after="120"/>
        <w:rPr>
          <w:sz w:val="22"/>
          <w:szCs w:val="22"/>
        </w:rPr>
      </w:pPr>
      <w:r w:rsidRPr="00F1678F">
        <w:rPr>
          <w:sz w:val="22"/>
          <w:szCs w:val="22"/>
        </w:rPr>
        <w:t>The Department agrees to the requested change.</w:t>
      </w:r>
    </w:p>
    <w:p w:rsidR="004335B6" w:rsidRPr="00F1678F" w:rsidRDefault="004335B6" w:rsidP="004335B6">
      <w:pPr>
        <w:pStyle w:val="ListParagraph"/>
        <w:ind w:left="270"/>
        <w:rPr>
          <w:sz w:val="22"/>
          <w:szCs w:val="22"/>
        </w:rPr>
      </w:pPr>
    </w:p>
    <w:p w:rsidR="004335B6" w:rsidRPr="004335B6" w:rsidRDefault="004335B6" w:rsidP="004335B6">
      <w:pPr>
        <w:widowControl w:val="0"/>
        <w:spacing w:before="120" w:after="120"/>
        <w:rPr>
          <w:b/>
          <w:sz w:val="22"/>
          <w:szCs w:val="22"/>
        </w:rPr>
      </w:pPr>
      <w:r w:rsidRPr="004335B6">
        <w:rPr>
          <w:b/>
          <w:sz w:val="22"/>
          <w:szCs w:val="22"/>
        </w:rPr>
        <w:t>Revisions</w:t>
      </w:r>
    </w:p>
    <w:p w:rsidR="004335B6" w:rsidRPr="004335B6" w:rsidRDefault="004335B6" w:rsidP="004335B6">
      <w:pPr>
        <w:widowControl w:val="0"/>
        <w:spacing w:after="120"/>
        <w:rPr>
          <w:sz w:val="22"/>
          <w:szCs w:val="22"/>
        </w:rPr>
      </w:pPr>
      <w:r w:rsidRPr="004335B6">
        <w:rPr>
          <w:sz w:val="22"/>
          <w:szCs w:val="22"/>
        </w:rPr>
        <w:t xml:space="preserve">The approved revisions are shown in </w:t>
      </w:r>
      <w:r w:rsidRPr="004335B6">
        <w:rPr>
          <w:strike/>
          <w:sz w:val="22"/>
          <w:szCs w:val="22"/>
          <w:highlight w:val="yellow"/>
        </w:rPr>
        <w:t>strikethrough</w:t>
      </w:r>
      <w:r w:rsidRPr="004335B6">
        <w:rPr>
          <w:sz w:val="22"/>
          <w:szCs w:val="22"/>
        </w:rPr>
        <w:t xml:space="preserve"> (for deletions) and </w:t>
      </w:r>
      <w:r w:rsidRPr="004335B6">
        <w:rPr>
          <w:sz w:val="22"/>
          <w:szCs w:val="22"/>
          <w:highlight w:val="yellow"/>
          <w:u w:val="double"/>
        </w:rPr>
        <w:t>double-underlines</w:t>
      </w:r>
      <w:r w:rsidRPr="004335B6">
        <w:rPr>
          <w:sz w:val="22"/>
          <w:szCs w:val="22"/>
        </w:rPr>
        <w:t xml:space="preserve"> (for additions) format within the permit revision itself.  All changes are emphasized with </w:t>
      </w:r>
      <w:r w:rsidRPr="004335B6">
        <w:rPr>
          <w:sz w:val="22"/>
          <w:szCs w:val="22"/>
          <w:highlight w:val="yellow"/>
        </w:rPr>
        <w:t>yellow highlight</w:t>
      </w:r>
      <w:r w:rsidRPr="004335B6">
        <w:rPr>
          <w:sz w:val="22"/>
          <w:szCs w:val="22"/>
        </w:rPr>
        <w:t>.</w:t>
      </w:r>
    </w:p>
    <w:p w:rsidR="004335B6" w:rsidRPr="004335B6" w:rsidRDefault="004335B6" w:rsidP="004335B6">
      <w:pPr>
        <w:pStyle w:val="BodyText"/>
        <w:jc w:val="both"/>
        <w:rPr>
          <w:b/>
          <w:sz w:val="22"/>
        </w:rPr>
      </w:pPr>
      <w:r w:rsidRPr="004335B6">
        <w:rPr>
          <w:b/>
          <w:sz w:val="22"/>
        </w:rPr>
        <w:t>State Requirements</w:t>
      </w:r>
    </w:p>
    <w:p w:rsidR="004335B6" w:rsidRPr="004335B6" w:rsidRDefault="004335B6" w:rsidP="004335B6">
      <w:pPr>
        <w:tabs>
          <w:tab w:val="left" w:pos="360"/>
          <w:tab w:val="left" w:pos="720"/>
          <w:tab w:val="left" w:pos="1080"/>
          <w:tab w:val="left" w:pos="1440"/>
        </w:tabs>
        <w:spacing w:after="120"/>
        <w:rPr>
          <w:sz w:val="24"/>
          <w:szCs w:val="24"/>
        </w:rPr>
      </w:pPr>
      <w:r w:rsidRPr="004335B6">
        <w:rPr>
          <w:sz w:val="24"/>
          <w:szCs w:val="24"/>
        </w:rPr>
        <w:t>This project is subject to the applicable environmental laws specified in Section 403 of the Florida Statutes (F.S.).  The Florida Statutes authorize the Department of Environmental Protection to establish rules and regulations regarding air quality as part of the F.A.C.  The facility is subject to the applicable rules and regulations defined in the following Chapters of the F.A.C.</w:t>
      </w:r>
    </w:p>
    <w:tbl>
      <w:tblPr>
        <w:tblW w:w="9810" w:type="dxa"/>
        <w:tblInd w:w="18" w:type="dxa"/>
        <w:tblLayout w:type="fixed"/>
        <w:tblLook w:val="0000"/>
      </w:tblPr>
      <w:tblGrid>
        <w:gridCol w:w="990"/>
        <w:gridCol w:w="8820"/>
      </w:tblGrid>
      <w:tr w:rsidR="004335B6" w:rsidRPr="004335B6" w:rsidTr="00D45297">
        <w:tc>
          <w:tcPr>
            <w:tcW w:w="990" w:type="dxa"/>
          </w:tcPr>
          <w:p w:rsidR="004335B6" w:rsidRPr="004335B6" w:rsidRDefault="004335B6" w:rsidP="00D45297">
            <w:pPr>
              <w:spacing w:before="60" w:after="60"/>
              <w:rPr>
                <w:sz w:val="24"/>
                <w:szCs w:val="24"/>
                <w:u w:val="single"/>
              </w:rPr>
            </w:pPr>
            <w:r w:rsidRPr="004335B6">
              <w:rPr>
                <w:sz w:val="24"/>
                <w:szCs w:val="24"/>
                <w:u w:val="single"/>
              </w:rPr>
              <w:t>Chapter</w:t>
            </w:r>
          </w:p>
        </w:tc>
        <w:tc>
          <w:tcPr>
            <w:tcW w:w="8820" w:type="dxa"/>
          </w:tcPr>
          <w:p w:rsidR="004335B6" w:rsidRPr="004335B6" w:rsidRDefault="004335B6" w:rsidP="00D45297">
            <w:pPr>
              <w:spacing w:before="60" w:after="60"/>
              <w:rPr>
                <w:sz w:val="24"/>
                <w:szCs w:val="24"/>
                <w:u w:val="single"/>
              </w:rPr>
            </w:pPr>
            <w:r w:rsidRPr="004335B6">
              <w:rPr>
                <w:sz w:val="24"/>
                <w:szCs w:val="24"/>
                <w:u w:val="single"/>
              </w:rPr>
              <w:t>Description</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62-4</w:t>
            </w:r>
          </w:p>
        </w:tc>
        <w:tc>
          <w:tcPr>
            <w:tcW w:w="8820" w:type="dxa"/>
          </w:tcPr>
          <w:p w:rsidR="004335B6" w:rsidRPr="004335B6" w:rsidRDefault="004335B6" w:rsidP="00D45297">
            <w:pPr>
              <w:spacing w:before="60" w:after="60"/>
              <w:rPr>
                <w:sz w:val="24"/>
                <w:szCs w:val="24"/>
              </w:rPr>
            </w:pPr>
            <w:r w:rsidRPr="004335B6">
              <w:rPr>
                <w:sz w:val="24"/>
                <w:szCs w:val="24"/>
              </w:rPr>
              <w:t>Permits</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62-204</w:t>
            </w:r>
          </w:p>
        </w:tc>
        <w:tc>
          <w:tcPr>
            <w:tcW w:w="8820" w:type="dxa"/>
          </w:tcPr>
          <w:p w:rsidR="004335B6" w:rsidRPr="004335B6" w:rsidRDefault="004335B6" w:rsidP="00D45297">
            <w:pPr>
              <w:spacing w:before="60" w:after="60"/>
              <w:rPr>
                <w:sz w:val="24"/>
                <w:szCs w:val="24"/>
              </w:rPr>
            </w:pPr>
            <w:r w:rsidRPr="004335B6">
              <w:rPr>
                <w:sz w:val="24"/>
                <w:szCs w:val="24"/>
              </w:rPr>
              <w:t>Air Pollution Control – General Provisions</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62-210</w:t>
            </w:r>
          </w:p>
        </w:tc>
        <w:tc>
          <w:tcPr>
            <w:tcW w:w="8820" w:type="dxa"/>
          </w:tcPr>
          <w:p w:rsidR="004335B6" w:rsidRPr="004335B6" w:rsidRDefault="004335B6" w:rsidP="00D45297">
            <w:pPr>
              <w:spacing w:before="60" w:after="60"/>
              <w:rPr>
                <w:sz w:val="24"/>
                <w:szCs w:val="24"/>
              </w:rPr>
            </w:pPr>
            <w:r w:rsidRPr="004335B6">
              <w:rPr>
                <w:sz w:val="24"/>
                <w:szCs w:val="24"/>
              </w:rPr>
              <w:t>Stationary Sources – General Requirements</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62-212</w:t>
            </w:r>
          </w:p>
        </w:tc>
        <w:tc>
          <w:tcPr>
            <w:tcW w:w="8820" w:type="dxa"/>
          </w:tcPr>
          <w:p w:rsidR="004335B6" w:rsidRPr="004335B6" w:rsidRDefault="004335B6" w:rsidP="00D45297">
            <w:pPr>
              <w:spacing w:before="60" w:after="60"/>
              <w:rPr>
                <w:sz w:val="24"/>
                <w:szCs w:val="24"/>
              </w:rPr>
            </w:pPr>
            <w:r w:rsidRPr="004335B6">
              <w:rPr>
                <w:sz w:val="24"/>
                <w:szCs w:val="24"/>
              </w:rPr>
              <w:t>Stationary Sources Preconstruction Review</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62-213</w:t>
            </w:r>
          </w:p>
        </w:tc>
        <w:tc>
          <w:tcPr>
            <w:tcW w:w="8820" w:type="dxa"/>
          </w:tcPr>
          <w:p w:rsidR="004335B6" w:rsidRPr="004335B6" w:rsidRDefault="004335B6" w:rsidP="00D45297">
            <w:pPr>
              <w:spacing w:before="60" w:after="60"/>
              <w:rPr>
                <w:sz w:val="24"/>
                <w:szCs w:val="24"/>
              </w:rPr>
            </w:pPr>
            <w:r w:rsidRPr="004335B6">
              <w:rPr>
                <w:sz w:val="24"/>
                <w:szCs w:val="24"/>
              </w:rPr>
              <w:t>Operation Permits for Major Sources of Air Pollution</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62-296</w:t>
            </w:r>
          </w:p>
        </w:tc>
        <w:tc>
          <w:tcPr>
            <w:tcW w:w="8820" w:type="dxa"/>
          </w:tcPr>
          <w:p w:rsidR="004335B6" w:rsidRPr="004335B6" w:rsidRDefault="004335B6" w:rsidP="00D45297">
            <w:pPr>
              <w:spacing w:before="60" w:after="60"/>
              <w:rPr>
                <w:sz w:val="24"/>
                <w:szCs w:val="24"/>
              </w:rPr>
            </w:pPr>
            <w:r w:rsidRPr="004335B6">
              <w:rPr>
                <w:sz w:val="24"/>
                <w:szCs w:val="24"/>
              </w:rPr>
              <w:t>Stationary Sources – Emissions Standards</w:t>
            </w:r>
          </w:p>
        </w:tc>
      </w:tr>
      <w:tr w:rsidR="004335B6" w:rsidRPr="004335B6" w:rsidTr="00D45297">
        <w:tc>
          <w:tcPr>
            <w:tcW w:w="990" w:type="dxa"/>
            <w:vAlign w:val="center"/>
          </w:tcPr>
          <w:p w:rsidR="004335B6" w:rsidRPr="004335B6" w:rsidRDefault="004335B6" w:rsidP="00D45297">
            <w:pPr>
              <w:spacing w:before="60" w:after="60"/>
              <w:rPr>
                <w:sz w:val="24"/>
                <w:szCs w:val="24"/>
              </w:rPr>
            </w:pPr>
            <w:r w:rsidRPr="004335B6">
              <w:rPr>
                <w:sz w:val="24"/>
                <w:szCs w:val="24"/>
              </w:rPr>
              <w:t>62-297</w:t>
            </w:r>
          </w:p>
        </w:tc>
        <w:tc>
          <w:tcPr>
            <w:tcW w:w="8820" w:type="dxa"/>
          </w:tcPr>
          <w:p w:rsidR="004335B6" w:rsidRPr="004335B6" w:rsidRDefault="004335B6" w:rsidP="00D45297">
            <w:pPr>
              <w:spacing w:before="60" w:after="60"/>
              <w:rPr>
                <w:sz w:val="24"/>
                <w:szCs w:val="24"/>
              </w:rPr>
            </w:pPr>
            <w:r w:rsidRPr="004335B6">
              <w:rPr>
                <w:sz w:val="24"/>
                <w:szCs w:val="24"/>
              </w:rPr>
              <w:t>Stationary Sources – Emissions Monitoring</w:t>
            </w:r>
          </w:p>
        </w:tc>
      </w:tr>
    </w:tbl>
    <w:p w:rsidR="004335B6" w:rsidRPr="004335B6" w:rsidRDefault="004335B6" w:rsidP="004335B6">
      <w:pPr>
        <w:pStyle w:val="BodyText"/>
        <w:jc w:val="both"/>
        <w:rPr>
          <w:b/>
          <w:sz w:val="22"/>
        </w:rPr>
      </w:pPr>
    </w:p>
    <w:p w:rsidR="004335B6" w:rsidRPr="00BD1CC0" w:rsidRDefault="004335B6" w:rsidP="004335B6">
      <w:pPr>
        <w:spacing w:after="120"/>
        <w:jc w:val="both"/>
        <w:rPr>
          <w:b/>
          <w:sz w:val="22"/>
          <w:szCs w:val="22"/>
        </w:rPr>
      </w:pPr>
      <w:r w:rsidRPr="00BD1CC0">
        <w:rPr>
          <w:b/>
          <w:sz w:val="22"/>
          <w:szCs w:val="22"/>
        </w:rPr>
        <w:lastRenderedPageBreak/>
        <w:t>Federal Requirements</w:t>
      </w:r>
    </w:p>
    <w:p w:rsidR="004335B6" w:rsidRPr="00BD1CC0" w:rsidRDefault="004335B6" w:rsidP="004335B6">
      <w:pPr>
        <w:tabs>
          <w:tab w:val="left" w:pos="360"/>
          <w:tab w:val="left" w:pos="720"/>
          <w:tab w:val="left" w:pos="1080"/>
          <w:tab w:val="left" w:pos="1440"/>
        </w:tabs>
        <w:spacing w:after="120"/>
        <w:rPr>
          <w:sz w:val="22"/>
          <w:szCs w:val="22"/>
        </w:rPr>
      </w:pPr>
      <w:r w:rsidRPr="00BD1CC0">
        <w:rPr>
          <w:sz w:val="22"/>
          <w:szCs w:val="22"/>
        </w:rPr>
        <w:t>The facility was or is subject to the applicable federal provisions regarding air quality as established by the EPA in the following sections of the Code of Federal Regulations (CFR).</w:t>
      </w:r>
    </w:p>
    <w:tbl>
      <w:tblPr>
        <w:tblW w:w="9630" w:type="dxa"/>
        <w:tblInd w:w="18" w:type="dxa"/>
        <w:tblLayout w:type="fixed"/>
        <w:tblLook w:val="0000"/>
      </w:tblPr>
      <w:tblGrid>
        <w:gridCol w:w="1710"/>
        <w:gridCol w:w="7920"/>
      </w:tblGrid>
      <w:tr w:rsidR="004335B6" w:rsidRPr="00BD1CC0" w:rsidTr="00D45297">
        <w:tc>
          <w:tcPr>
            <w:tcW w:w="1710" w:type="dxa"/>
          </w:tcPr>
          <w:p w:rsidR="004335B6" w:rsidRPr="00BD1CC0" w:rsidRDefault="004335B6" w:rsidP="00D45297">
            <w:pPr>
              <w:spacing w:before="60" w:after="60"/>
              <w:jc w:val="both"/>
              <w:rPr>
                <w:sz w:val="22"/>
                <w:szCs w:val="22"/>
                <w:u w:val="single"/>
              </w:rPr>
            </w:pPr>
            <w:r w:rsidRPr="00BD1CC0">
              <w:rPr>
                <w:sz w:val="22"/>
                <w:szCs w:val="22"/>
                <w:u w:val="single"/>
              </w:rPr>
              <w:t>Title 40, CFR</w:t>
            </w:r>
          </w:p>
        </w:tc>
        <w:tc>
          <w:tcPr>
            <w:tcW w:w="7920" w:type="dxa"/>
          </w:tcPr>
          <w:p w:rsidR="004335B6" w:rsidRPr="00BD1CC0" w:rsidRDefault="004335B6" w:rsidP="00D45297">
            <w:pPr>
              <w:spacing w:before="60" w:after="60"/>
              <w:jc w:val="both"/>
              <w:rPr>
                <w:sz w:val="22"/>
                <w:szCs w:val="22"/>
                <w:u w:val="single"/>
              </w:rPr>
            </w:pPr>
            <w:r w:rsidRPr="00BD1CC0">
              <w:rPr>
                <w:sz w:val="22"/>
                <w:szCs w:val="22"/>
                <w:u w:val="single"/>
              </w:rPr>
              <w:t>Description</w:t>
            </w:r>
          </w:p>
        </w:tc>
      </w:tr>
      <w:tr w:rsidR="004335B6" w:rsidRPr="00BD1CC0" w:rsidTr="00D45297">
        <w:trPr>
          <w:cantSplit/>
          <w:trHeight w:val="450"/>
        </w:trPr>
        <w:tc>
          <w:tcPr>
            <w:tcW w:w="1710" w:type="dxa"/>
            <w:vAlign w:val="center"/>
          </w:tcPr>
          <w:p w:rsidR="004335B6" w:rsidRPr="00BD1CC0" w:rsidRDefault="004335B6" w:rsidP="00D45297">
            <w:pPr>
              <w:spacing w:before="60" w:after="60"/>
              <w:jc w:val="both"/>
              <w:rPr>
                <w:sz w:val="22"/>
                <w:szCs w:val="22"/>
              </w:rPr>
            </w:pPr>
            <w:r w:rsidRPr="00BD1CC0">
              <w:rPr>
                <w:sz w:val="22"/>
                <w:szCs w:val="22"/>
              </w:rPr>
              <w:t>Section 52.21</w:t>
            </w:r>
          </w:p>
        </w:tc>
        <w:tc>
          <w:tcPr>
            <w:tcW w:w="7920" w:type="dxa"/>
            <w:vAlign w:val="center"/>
          </w:tcPr>
          <w:p w:rsidR="004335B6" w:rsidRPr="00BD1CC0" w:rsidRDefault="004335B6" w:rsidP="00D45297">
            <w:pPr>
              <w:spacing w:before="60" w:after="60"/>
              <w:jc w:val="both"/>
              <w:rPr>
                <w:sz w:val="22"/>
                <w:szCs w:val="22"/>
              </w:rPr>
            </w:pPr>
            <w:r w:rsidRPr="00BD1CC0">
              <w:rPr>
                <w:sz w:val="22"/>
                <w:szCs w:val="22"/>
              </w:rPr>
              <w:t>Prevention of Significant Deterioration of Air Quality</w:t>
            </w:r>
          </w:p>
        </w:tc>
      </w:tr>
      <w:tr w:rsidR="004335B6" w:rsidRPr="00BD1CC0" w:rsidTr="00D45297">
        <w:trPr>
          <w:cantSplit/>
          <w:trHeight w:val="930"/>
        </w:trPr>
        <w:tc>
          <w:tcPr>
            <w:tcW w:w="1710" w:type="dxa"/>
            <w:tcBorders>
              <w:bottom w:val="nil"/>
            </w:tcBorders>
            <w:vAlign w:val="center"/>
          </w:tcPr>
          <w:p w:rsidR="004335B6" w:rsidRPr="00BD1CC0" w:rsidRDefault="004335B6" w:rsidP="00D45297">
            <w:pPr>
              <w:spacing w:before="40" w:after="40"/>
              <w:jc w:val="both"/>
              <w:rPr>
                <w:sz w:val="22"/>
                <w:szCs w:val="22"/>
              </w:rPr>
            </w:pPr>
            <w:r w:rsidRPr="00BD1CC0">
              <w:rPr>
                <w:sz w:val="22"/>
                <w:szCs w:val="22"/>
              </w:rPr>
              <w:t>Part 60</w:t>
            </w:r>
          </w:p>
        </w:tc>
        <w:tc>
          <w:tcPr>
            <w:tcW w:w="7920" w:type="dxa"/>
            <w:tcBorders>
              <w:bottom w:val="nil"/>
            </w:tcBorders>
          </w:tcPr>
          <w:p w:rsidR="004335B6" w:rsidRPr="00BD1CC0" w:rsidRDefault="004335B6" w:rsidP="00D45297">
            <w:pPr>
              <w:spacing w:before="60" w:after="60"/>
              <w:rPr>
                <w:sz w:val="22"/>
                <w:szCs w:val="22"/>
              </w:rPr>
            </w:pPr>
            <w:r w:rsidRPr="00BD1CC0">
              <w:rPr>
                <w:sz w:val="22"/>
                <w:szCs w:val="22"/>
              </w:rPr>
              <w:t xml:space="preserve">Subpart A </w:t>
            </w:r>
            <w:r w:rsidRPr="00BD1CC0">
              <w:rPr>
                <w:sz w:val="22"/>
                <w:szCs w:val="22"/>
              </w:rPr>
              <w:softHyphen/>
              <w:t xml:space="preserve">Standards of Performance for New Stationary Sources – </w:t>
            </w:r>
            <w:r w:rsidRPr="00BD1CC0">
              <w:rPr>
                <w:sz w:val="22"/>
                <w:szCs w:val="22"/>
              </w:rPr>
              <w:br/>
              <w:t>General Provisions.</w:t>
            </w:r>
          </w:p>
          <w:p w:rsidR="00BD1CC0" w:rsidRPr="00BD1CC0" w:rsidRDefault="00BD1CC0" w:rsidP="00BD1CC0">
            <w:pPr>
              <w:spacing w:after="60"/>
              <w:rPr>
                <w:sz w:val="22"/>
                <w:szCs w:val="22"/>
              </w:rPr>
            </w:pPr>
            <w:r w:rsidRPr="00BD1CC0">
              <w:rPr>
                <w:sz w:val="22"/>
                <w:szCs w:val="22"/>
              </w:rPr>
              <w:t>Subpart Kb - Standards of Performance for Volatile Organic Liquid Storage Vessels (Including Petroleum Liquid Storage Vessels) for Which Construction, Reconstruction, or Modification Commenced After July 23, 1984.</w:t>
            </w:r>
          </w:p>
          <w:p w:rsidR="00BD1CC0" w:rsidRPr="00BD1CC0" w:rsidRDefault="00BD1CC0" w:rsidP="00BD1CC0">
            <w:pPr>
              <w:spacing w:after="60"/>
              <w:rPr>
                <w:sz w:val="22"/>
                <w:szCs w:val="22"/>
              </w:rPr>
            </w:pPr>
            <w:r w:rsidRPr="00BD1CC0">
              <w:rPr>
                <w:sz w:val="22"/>
                <w:szCs w:val="22"/>
              </w:rPr>
              <w:t>Subpart GG - Standards of Performance for Stationary Gas Turbines.</w:t>
            </w:r>
          </w:p>
          <w:p w:rsidR="00BD1CC0" w:rsidRPr="00BD1CC0" w:rsidRDefault="00BD1CC0" w:rsidP="00BD1CC0">
            <w:pPr>
              <w:spacing w:after="60"/>
              <w:rPr>
                <w:sz w:val="22"/>
                <w:szCs w:val="22"/>
              </w:rPr>
            </w:pPr>
            <w:r w:rsidRPr="00BD1CC0">
              <w:rPr>
                <w:sz w:val="22"/>
                <w:szCs w:val="22"/>
              </w:rPr>
              <w:t xml:space="preserve">Subpart KKKK </w:t>
            </w:r>
            <w:r w:rsidRPr="00BD1CC0">
              <w:rPr>
                <w:sz w:val="22"/>
                <w:szCs w:val="22"/>
              </w:rPr>
              <w:softHyphen/>
              <w:t xml:space="preserve"> Standards of Performance for Stationary Combustion Turbines.</w:t>
            </w:r>
          </w:p>
          <w:p w:rsidR="00BD1CC0" w:rsidRPr="00BD1CC0" w:rsidRDefault="00BD1CC0" w:rsidP="00D45297">
            <w:pPr>
              <w:spacing w:after="60"/>
              <w:rPr>
                <w:sz w:val="22"/>
                <w:szCs w:val="22"/>
              </w:rPr>
            </w:pPr>
          </w:p>
        </w:tc>
      </w:tr>
    </w:tbl>
    <w:p w:rsidR="004335B6" w:rsidRPr="004335B6" w:rsidRDefault="004335B6" w:rsidP="004335B6">
      <w:pPr>
        <w:widowControl w:val="0"/>
        <w:spacing w:before="120" w:after="120"/>
        <w:jc w:val="both"/>
        <w:rPr>
          <w:b/>
          <w:caps/>
          <w:sz w:val="22"/>
        </w:rPr>
      </w:pPr>
      <w:r w:rsidRPr="004335B6">
        <w:rPr>
          <w:b/>
          <w:caps/>
          <w:sz w:val="22"/>
        </w:rPr>
        <w:t>4.  Preliminary Determination</w:t>
      </w:r>
    </w:p>
    <w:p w:rsidR="004335B6" w:rsidRPr="004335B6" w:rsidRDefault="004335B6" w:rsidP="004335B6">
      <w:pPr>
        <w:widowControl w:val="0"/>
        <w:spacing w:after="120"/>
        <w:rPr>
          <w:sz w:val="22"/>
        </w:rPr>
      </w:pPr>
      <w:r w:rsidRPr="004335B6">
        <w:rPr>
          <w:sz w:val="22"/>
        </w:rPr>
        <w:t>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Edward Svec is the project engineer responsible for reviewing the application and drafting the permit.  Additional details of this analysis may be obtained by contacting the project engineer at the Department’s Office of Permitting and Compliance at Mail Station #5505, 2600 Blair Stone Road, Tallahassee, Florida  32399-2400.</w:t>
      </w:r>
    </w:p>
    <w:p w:rsidR="00193F10" w:rsidRPr="004335B6" w:rsidRDefault="00193F10" w:rsidP="004335B6">
      <w:pPr>
        <w:widowControl w:val="0"/>
        <w:spacing w:before="120" w:after="120"/>
        <w:jc w:val="both"/>
        <w:rPr>
          <w:sz w:val="22"/>
        </w:rPr>
      </w:pPr>
    </w:p>
    <w:sectPr w:rsidR="00193F10" w:rsidRPr="004335B6" w:rsidSect="0095578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909" w:rsidRDefault="002F5909">
      <w:r>
        <w:separator/>
      </w:r>
    </w:p>
  </w:endnote>
  <w:endnote w:type="continuationSeparator" w:id="0">
    <w:p w:rsidR="002F5909" w:rsidRDefault="002F59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9FA" w:rsidRPr="00935FD1" w:rsidRDefault="007D09FA" w:rsidP="007D09FA">
    <w:pPr>
      <w:pBdr>
        <w:top w:val="single" w:sz="8" w:space="1" w:color="auto"/>
      </w:pBdr>
      <w:tabs>
        <w:tab w:val="left" w:pos="7200"/>
      </w:tabs>
      <w:spacing w:before="240"/>
      <w:rPr>
        <w:rStyle w:val="PageNumber"/>
      </w:rPr>
    </w:pPr>
    <w:r w:rsidRPr="00935FD1">
      <w:t>Oleander Power Project</w:t>
    </w:r>
    <w:r w:rsidRPr="00935FD1">
      <w:rPr>
        <w:rStyle w:val="PageNumber"/>
        <w:color w:val="FF0000"/>
      </w:rPr>
      <w:tab/>
    </w:r>
    <w:r w:rsidRPr="00935FD1">
      <w:rPr>
        <w:rStyle w:val="PageNumber"/>
      </w:rPr>
      <w:t>Air Permit No. 0090180-007-AC</w:t>
    </w:r>
  </w:p>
  <w:p w:rsidR="007D09FA" w:rsidRPr="00077826" w:rsidRDefault="007D09FA" w:rsidP="007D09FA">
    <w:pPr>
      <w:tabs>
        <w:tab w:val="left" w:pos="7200"/>
      </w:tabs>
      <w:rPr>
        <w:rStyle w:val="PageNumber"/>
      </w:rPr>
    </w:pPr>
    <w:r w:rsidRPr="00935FD1">
      <w:rPr>
        <w:rStyle w:val="PageNumber"/>
      </w:rPr>
      <w:t>Air Construction Permit Revision</w:t>
    </w:r>
    <w:r>
      <w:rPr>
        <w:rStyle w:val="PageNumber"/>
      </w:rPr>
      <w:tab/>
    </w:r>
    <w:r w:rsidRPr="00DC21E3">
      <w:rPr>
        <w:rStyle w:val="PageNumber"/>
      </w:rPr>
      <w:t>PSD-FL-258A and PSD-FL-377A</w:t>
    </w:r>
  </w:p>
  <w:p w:rsidR="00461B52" w:rsidRDefault="00461B52">
    <w:pPr>
      <w:pStyle w:val="Footer"/>
      <w:tabs>
        <w:tab w:val="clear" w:pos="4320"/>
        <w:tab w:val="clear" w:pos="8640"/>
      </w:tabs>
      <w:jc w:val="center"/>
    </w:pPr>
    <w:r>
      <w:rPr>
        <w:rStyle w:val="PageNumber"/>
      </w:rPr>
      <w:t xml:space="preserve">Page </w:t>
    </w:r>
    <w:r w:rsidR="00864C78">
      <w:rPr>
        <w:rStyle w:val="PageNumber"/>
      </w:rPr>
      <w:fldChar w:fldCharType="begin"/>
    </w:r>
    <w:r>
      <w:rPr>
        <w:rStyle w:val="PageNumber"/>
      </w:rPr>
      <w:instrText xml:space="preserve"> PAGE </w:instrText>
    </w:r>
    <w:r w:rsidR="00864C78">
      <w:rPr>
        <w:rStyle w:val="PageNumber"/>
      </w:rPr>
      <w:fldChar w:fldCharType="separate"/>
    </w:r>
    <w:r w:rsidR="001B0D17">
      <w:rPr>
        <w:rStyle w:val="PageNumber"/>
        <w:noProof/>
      </w:rPr>
      <w:t>2</w:t>
    </w:r>
    <w:r w:rsidR="00864C78">
      <w:rPr>
        <w:rStyle w:val="PageNumber"/>
      </w:rPr>
      <w:fldChar w:fldCharType="end"/>
    </w:r>
    <w:r>
      <w:rPr>
        <w:rStyle w:val="PageNumber"/>
      </w:rPr>
      <w:t xml:space="preserve"> of </w:t>
    </w:r>
    <w:r w:rsidR="00864C78">
      <w:rPr>
        <w:rStyle w:val="PageNumber"/>
      </w:rPr>
      <w:fldChar w:fldCharType="begin"/>
    </w:r>
    <w:r>
      <w:rPr>
        <w:rStyle w:val="PageNumber"/>
      </w:rPr>
      <w:instrText xml:space="preserve"> NUMPAGES </w:instrText>
    </w:r>
    <w:r w:rsidR="00864C78">
      <w:rPr>
        <w:rStyle w:val="PageNumber"/>
      </w:rPr>
      <w:fldChar w:fldCharType="separate"/>
    </w:r>
    <w:r w:rsidR="001B0D17">
      <w:rPr>
        <w:rStyle w:val="PageNumber"/>
        <w:noProof/>
      </w:rPr>
      <w:t>8</w:t>
    </w:r>
    <w:r w:rsidR="00864C78">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B52" w:rsidRDefault="00461B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909" w:rsidRDefault="002F5909">
      <w:r>
        <w:separator/>
      </w:r>
    </w:p>
  </w:footnote>
  <w:footnote w:type="continuationSeparator" w:id="0">
    <w:p w:rsidR="002F5909" w:rsidRDefault="002F5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B52" w:rsidRDefault="00461B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70CCD"/>
    <w:multiLevelType w:val="hybridMultilevel"/>
    <w:tmpl w:val="AA224664"/>
    <w:lvl w:ilvl="0" w:tplc="733C1E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E1590"/>
    <w:multiLevelType w:val="hybridMultilevel"/>
    <w:tmpl w:val="AFFA84FC"/>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
    <w:nsid w:val="209103EE"/>
    <w:multiLevelType w:val="hybridMultilevel"/>
    <w:tmpl w:val="D1264626"/>
    <w:lvl w:ilvl="0" w:tplc="F19ED3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11F12F3"/>
    <w:multiLevelType w:val="hybridMultilevel"/>
    <w:tmpl w:val="D1264626"/>
    <w:lvl w:ilvl="0" w:tplc="F19ED3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CF3BF4"/>
    <w:multiLevelType w:val="hybridMultilevel"/>
    <w:tmpl w:val="5DE0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BB4DED"/>
    <w:multiLevelType w:val="hybridMultilevel"/>
    <w:tmpl w:val="4AE0CBD4"/>
    <w:lvl w:ilvl="0" w:tplc="0409000F">
      <w:start w:val="1"/>
      <w:numFmt w:val="decimal"/>
      <w:lvlText w:val="%1."/>
      <w:lvlJc w:val="left"/>
      <w:pPr>
        <w:ind w:left="360" w:hanging="360"/>
      </w:pPr>
      <w:rPr>
        <w:rFonts w:cs="Times New Roman"/>
      </w:rPr>
    </w:lvl>
    <w:lvl w:ilvl="1" w:tplc="90FECEDC">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0"/>
  </w:num>
  <w:num w:numId="4">
    <w:abstractNumId w:val="4"/>
  </w:num>
  <w:num w:numId="5">
    <w:abstractNumId w:val="6"/>
  </w:num>
  <w:num w:numId="6">
    <w:abstractNumId w:val="9"/>
  </w:num>
  <w:num w:numId="7">
    <w:abstractNumId w:val="2"/>
  </w:num>
  <w:num w:numId="8">
    <w:abstractNumId w:val="8"/>
  </w:num>
  <w:num w:numId="9">
    <w:abstractNumId w:val="1"/>
  </w:num>
  <w:num w:numId="10">
    <w:abstractNumId w:val="3"/>
  </w:num>
  <w:num w:numId="11">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35842"/>
  </w:hdrShapeDefaults>
  <w:footnotePr>
    <w:footnote w:id="-1"/>
    <w:footnote w:id="0"/>
  </w:footnotePr>
  <w:endnotePr>
    <w:endnote w:id="-1"/>
    <w:endnote w:id="0"/>
  </w:endnotePr>
  <w:compat/>
  <w:rsids>
    <w:rsidRoot w:val="00193F10"/>
    <w:rsid w:val="000B3948"/>
    <w:rsid w:val="000B4B28"/>
    <w:rsid w:val="000C5143"/>
    <w:rsid w:val="000E42D3"/>
    <w:rsid w:val="00111453"/>
    <w:rsid w:val="001358C6"/>
    <w:rsid w:val="00140CD4"/>
    <w:rsid w:val="001771DC"/>
    <w:rsid w:val="00193F10"/>
    <w:rsid w:val="00194AA6"/>
    <w:rsid w:val="001B0D17"/>
    <w:rsid w:val="001B7773"/>
    <w:rsid w:val="001C4E37"/>
    <w:rsid w:val="001D1649"/>
    <w:rsid w:val="001D487F"/>
    <w:rsid w:val="001E2CD6"/>
    <w:rsid w:val="00201860"/>
    <w:rsid w:val="00212E7D"/>
    <w:rsid w:val="00217A8A"/>
    <w:rsid w:val="002225DD"/>
    <w:rsid w:val="002A28C2"/>
    <w:rsid w:val="002C69D9"/>
    <w:rsid w:val="002F0E6E"/>
    <w:rsid w:val="002F5909"/>
    <w:rsid w:val="00302267"/>
    <w:rsid w:val="00312095"/>
    <w:rsid w:val="0033363A"/>
    <w:rsid w:val="00346552"/>
    <w:rsid w:val="00362B27"/>
    <w:rsid w:val="003858DE"/>
    <w:rsid w:val="0039482F"/>
    <w:rsid w:val="0039661B"/>
    <w:rsid w:val="003A3C29"/>
    <w:rsid w:val="003B1E0A"/>
    <w:rsid w:val="003E3A3D"/>
    <w:rsid w:val="003E683A"/>
    <w:rsid w:val="003F1AFB"/>
    <w:rsid w:val="0040283C"/>
    <w:rsid w:val="0043123B"/>
    <w:rsid w:val="004335B6"/>
    <w:rsid w:val="004414F2"/>
    <w:rsid w:val="00446FE7"/>
    <w:rsid w:val="00461B52"/>
    <w:rsid w:val="004B5185"/>
    <w:rsid w:val="004C0984"/>
    <w:rsid w:val="004D1D9F"/>
    <w:rsid w:val="004E48C8"/>
    <w:rsid w:val="0050280E"/>
    <w:rsid w:val="00531D25"/>
    <w:rsid w:val="005E36E4"/>
    <w:rsid w:val="00617209"/>
    <w:rsid w:val="00623C2E"/>
    <w:rsid w:val="00641E7A"/>
    <w:rsid w:val="0065214A"/>
    <w:rsid w:val="0066044B"/>
    <w:rsid w:val="006637B8"/>
    <w:rsid w:val="00684184"/>
    <w:rsid w:val="00686486"/>
    <w:rsid w:val="006B6EFE"/>
    <w:rsid w:val="006C4E7F"/>
    <w:rsid w:val="006F4721"/>
    <w:rsid w:val="00701FEF"/>
    <w:rsid w:val="00741F1A"/>
    <w:rsid w:val="00762E18"/>
    <w:rsid w:val="00762FA3"/>
    <w:rsid w:val="007747AA"/>
    <w:rsid w:val="00782ABD"/>
    <w:rsid w:val="00786837"/>
    <w:rsid w:val="007D09FA"/>
    <w:rsid w:val="007D0EE9"/>
    <w:rsid w:val="007E5CA3"/>
    <w:rsid w:val="007F7B7E"/>
    <w:rsid w:val="00800136"/>
    <w:rsid w:val="00804764"/>
    <w:rsid w:val="00835018"/>
    <w:rsid w:val="00850561"/>
    <w:rsid w:val="008551ED"/>
    <w:rsid w:val="008560BD"/>
    <w:rsid w:val="008603FF"/>
    <w:rsid w:val="00864C78"/>
    <w:rsid w:val="008673D3"/>
    <w:rsid w:val="0087009A"/>
    <w:rsid w:val="008D3837"/>
    <w:rsid w:val="00915F63"/>
    <w:rsid w:val="0093238E"/>
    <w:rsid w:val="00955781"/>
    <w:rsid w:val="009B32D2"/>
    <w:rsid w:val="009F6095"/>
    <w:rsid w:val="00A117A0"/>
    <w:rsid w:val="00A938D5"/>
    <w:rsid w:val="00A948F3"/>
    <w:rsid w:val="00B103DE"/>
    <w:rsid w:val="00B7612C"/>
    <w:rsid w:val="00B92445"/>
    <w:rsid w:val="00BB1087"/>
    <w:rsid w:val="00BC241E"/>
    <w:rsid w:val="00BC5729"/>
    <w:rsid w:val="00BD1CC0"/>
    <w:rsid w:val="00BE0F0E"/>
    <w:rsid w:val="00C02BEB"/>
    <w:rsid w:val="00C03139"/>
    <w:rsid w:val="00C06C6D"/>
    <w:rsid w:val="00C502D1"/>
    <w:rsid w:val="00C66BC6"/>
    <w:rsid w:val="00C66E7D"/>
    <w:rsid w:val="00C7510F"/>
    <w:rsid w:val="00CC333E"/>
    <w:rsid w:val="00CD1D53"/>
    <w:rsid w:val="00D06778"/>
    <w:rsid w:val="00D07B72"/>
    <w:rsid w:val="00D1773B"/>
    <w:rsid w:val="00D24F36"/>
    <w:rsid w:val="00D262B1"/>
    <w:rsid w:val="00D4398E"/>
    <w:rsid w:val="00D51D78"/>
    <w:rsid w:val="00D727AB"/>
    <w:rsid w:val="00D82B19"/>
    <w:rsid w:val="00DA4D8D"/>
    <w:rsid w:val="00DB4E11"/>
    <w:rsid w:val="00E11B8E"/>
    <w:rsid w:val="00E42819"/>
    <w:rsid w:val="00E50051"/>
    <w:rsid w:val="00E607EE"/>
    <w:rsid w:val="00E84B3B"/>
    <w:rsid w:val="00EC344E"/>
    <w:rsid w:val="00ED0CA0"/>
    <w:rsid w:val="00EE6112"/>
    <w:rsid w:val="00F1678F"/>
    <w:rsid w:val="00F22E35"/>
    <w:rsid w:val="00F71458"/>
    <w:rsid w:val="00F77D22"/>
    <w:rsid w:val="00FB3C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778"/>
  </w:style>
  <w:style w:type="paragraph" w:styleId="Heading1">
    <w:name w:val="heading 1"/>
    <w:basedOn w:val="Normal"/>
    <w:next w:val="Normal"/>
    <w:qFormat/>
    <w:rsid w:val="00D06778"/>
    <w:pPr>
      <w:keepNext/>
      <w:spacing w:after="120"/>
      <w:ind w:left="634"/>
      <w:outlineLvl w:val="0"/>
    </w:pPr>
    <w:rPr>
      <w:sz w:val="28"/>
    </w:rPr>
  </w:style>
  <w:style w:type="paragraph" w:styleId="Heading2">
    <w:name w:val="heading 2"/>
    <w:basedOn w:val="Normal"/>
    <w:next w:val="Normal"/>
    <w:qFormat/>
    <w:rsid w:val="00D06778"/>
    <w:pPr>
      <w:keepNext/>
      <w:ind w:left="630"/>
      <w:outlineLvl w:val="1"/>
    </w:pPr>
    <w:rPr>
      <w:i/>
      <w:sz w:val="23"/>
    </w:rPr>
  </w:style>
  <w:style w:type="paragraph" w:styleId="Heading3">
    <w:name w:val="heading 3"/>
    <w:basedOn w:val="Normal"/>
    <w:next w:val="Normal"/>
    <w:qFormat/>
    <w:rsid w:val="00D06778"/>
    <w:pPr>
      <w:keepNext/>
      <w:jc w:val="center"/>
      <w:outlineLvl w:val="2"/>
    </w:pPr>
    <w:rPr>
      <w:sz w:val="28"/>
    </w:rPr>
  </w:style>
  <w:style w:type="paragraph" w:styleId="Heading4">
    <w:name w:val="heading 4"/>
    <w:basedOn w:val="Normal"/>
    <w:next w:val="Normal"/>
    <w:qFormat/>
    <w:rsid w:val="00D06778"/>
    <w:pPr>
      <w:keepNext/>
      <w:jc w:val="center"/>
      <w:outlineLvl w:val="3"/>
    </w:pPr>
    <w:rPr>
      <w:b/>
      <w:sz w:val="22"/>
    </w:rPr>
  </w:style>
  <w:style w:type="paragraph" w:styleId="Heading5">
    <w:name w:val="heading 5"/>
    <w:basedOn w:val="Normal"/>
    <w:next w:val="Normal"/>
    <w:qFormat/>
    <w:rsid w:val="00D06778"/>
    <w:pPr>
      <w:keepNext/>
      <w:spacing w:after="120"/>
      <w:ind w:left="720"/>
      <w:outlineLvl w:val="4"/>
    </w:pPr>
    <w:rPr>
      <w:b/>
      <w:sz w:val="22"/>
    </w:rPr>
  </w:style>
  <w:style w:type="paragraph" w:styleId="Heading6">
    <w:name w:val="heading 6"/>
    <w:basedOn w:val="Normal"/>
    <w:next w:val="Normal"/>
    <w:qFormat/>
    <w:rsid w:val="00D06778"/>
    <w:pPr>
      <w:keepNext/>
      <w:jc w:val="center"/>
      <w:outlineLvl w:val="5"/>
    </w:pPr>
    <w:rPr>
      <w:b/>
      <w:sz w:val="24"/>
    </w:rPr>
  </w:style>
  <w:style w:type="paragraph" w:styleId="Heading7">
    <w:name w:val="heading 7"/>
    <w:basedOn w:val="Normal"/>
    <w:next w:val="Normal"/>
    <w:qFormat/>
    <w:rsid w:val="00D06778"/>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D06778"/>
    <w:pPr>
      <w:keepNext/>
      <w:spacing w:after="120"/>
      <w:outlineLvl w:val="7"/>
    </w:pPr>
    <w:rPr>
      <w:b/>
      <w:caps/>
      <w:sz w:val="22"/>
    </w:rPr>
  </w:style>
  <w:style w:type="paragraph" w:styleId="Heading9">
    <w:name w:val="heading 9"/>
    <w:basedOn w:val="Normal"/>
    <w:next w:val="Normal"/>
    <w:qFormat/>
    <w:rsid w:val="00D06778"/>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D06778"/>
    <w:rPr>
      <w:vertAlign w:val="superscript"/>
    </w:rPr>
  </w:style>
  <w:style w:type="paragraph" w:styleId="Header">
    <w:name w:val="header"/>
    <w:basedOn w:val="Normal"/>
    <w:rsid w:val="00D06778"/>
    <w:pPr>
      <w:tabs>
        <w:tab w:val="center" w:pos="4320"/>
        <w:tab w:val="right" w:pos="8640"/>
      </w:tabs>
    </w:pPr>
  </w:style>
  <w:style w:type="character" w:styleId="PageNumber">
    <w:name w:val="page number"/>
    <w:basedOn w:val="DefaultParagraphFont"/>
    <w:rsid w:val="00D06778"/>
  </w:style>
  <w:style w:type="paragraph" w:styleId="Footer">
    <w:name w:val="footer"/>
    <w:basedOn w:val="Normal"/>
    <w:rsid w:val="00D06778"/>
    <w:pPr>
      <w:tabs>
        <w:tab w:val="center" w:pos="4320"/>
        <w:tab w:val="right" w:pos="8640"/>
      </w:tabs>
    </w:pPr>
  </w:style>
  <w:style w:type="paragraph" w:styleId="BodyTextIndent">
    <w:name w:val="Body Text Indent"/>
    <w:basedOn w:val="Normal"/>
    <w:rsid w:val="00D06778"/>
    <w:pPr>
      <w:spacing w:after="120"/>
      <w:ind w:left="634"/>
    </w:pPr>
    <w:rPr>
      <w:sz w:val="24"/>
    </w:rPr>
  </w:style>
  <w:style w:type="paragraph" w:styleId="BodyTextIndent2">
    <w:name w:val="Body Text Indent 2"/>
    <w:basedOn w:val="Normal"/>
    <w:rsid w:val="00D06778"/>
    <w:pPr>
      <w:tabs>
        <w:tab w:val="left" w:pos="630"/>
      </w:tabs>
      <w:spacing w:after="120"/>
      <w:ind w:left="630"/>
    </w:pPr>
    <w:rPr>
      <w:sz w:val="24"/>
    </w:rPr>
  </w:style>
  <w:style w:type="paragraph" w:styleId="BodyTextIndent3">
    <w:name w:val="Body Text Indent 3"/>
    <w:basedOn w:val="Normal"/>
    <w:rsid w:val="00D06778"/>
    <w:pPr>
      <w:spacing w:before="240" w:after="120"/>
      <w:ind w:left="634"/>
      <w:jc w:val="center"/>
    </w:pPr>
    <w:rPr>
      <w:caps/>
      <w:sz w:val="24"/>
    </w:rPr>
  </w:style>
  <w:style w:type="paragraph" w:styleId="BodyText2">
    <w:name w:val="Body Text 2"/>
    <w:basedOn w:val="Normal"/>
    <w:rsid w:val="00D06778"/>
    <w:pPr>
      <w:numPr>
        <w:ilvl w:val="12"/>
      </w:numPr>
      <w:spacing w:after="120"/>
      <w:jc w:val="both"/>
    </w:pPr>
    <w:rPr>
      <w:sz w:val="22"/>
    </w:rPr>
  </w:style>
  <w:style w:type="paragraph" w:styleId="Title">
    <w:name w:val="Title"/>
    <w:basedOn w:val="Normal"/>
    <w:qFormat/>
    <w:rsid w:val="00D06778"/>
    <w:pPr>
      <w:jc w:val="center"/>
    </w:pPr>
    <w:rPr>
      <w:b/>
      <w:sz w:val="24"/>
    </w:rPr>
  </w:style>
  <w:style w:type="paragraph" w:styleId="BodyText">
    <w:name w:val="Body Text"/>
    <w:aliases w:val="SCA Body Text,SCA Body Text1,SCA Body Text2,SCA Body Text11,BodyText-JEA,BT-JEA"/>
    <w:basedOn w:val="Normal"/>
    <w:link w:val="BodyTextChar"/>
    <w:rsid w:val="00D06778"/>
    <w:pPr>
      <w:spacing w:after="120"/>
    </w:pPr>
    <w:rPr>
      <w:sz w:val="24"/>
    </w:rPr>
  </w:style>
  <w:style w:type="paragraph" w:styleId="BodyText3">
    <w:name w:val="Body Text 3"/>
    <w:basedOn w:val="Normal"/>
    <w:rsid w:val="00D06778"/>
    <w:pPr>
      <w:spacing w:before="120" w:after="120"/>
    </w:pPr>
    <w:rPr>
      <w:sz w:val="22"/>
    </w:rPr>
  </w:style>
  <w:style w:type="paragraph" w:customStyle="1" w:styleId="Style4">
    <w:name w:val="Style4"/>
    <w:next w:val="Normal"/>
    <w:rsid w:val="00D06778"/>
    <w:rPr>
      <w:noProof/>
      <w:sz w:val="24"/>
    </w:rPr>
  </w:style>
  <w:style w:type="paragraph" w:styleId="BlockText">
    <w:name w:val="Block Text"/>
    <w:basedOn w:val="Normal"/>
    <w:rsid w:val="00D06778"/>
    <w:pPr>
      <w:spacing w:after="120"/>
      <w:ind w:left="720" w:right="43"/>
      <w:jc w:val="both"/>
    </w:pPr>
    <w:rPr>
      <w:sz w:val="22"/>
    </w:rPr>
  </w:style>
  <w:style w:type="character" w:styleId="Hyperlink">
    <w:name w:val="Hyperlink"/>
    <w:basedOn w:val="DefaultParagraphFont"/>
    <w:rsid w:val="00D06778"/>
    <w:rPr>
      <w:color w:val="0000FF"/>
      <w:u w:val="single"/>
    </w:rPr>
  </w:style>
  <w:style w:type="paragraph" w:customStyle="1" w:styleId="SCATableHeading">
    <w:name w:val="SCA Table Heading"/>
    <w:basedOn w:val="Normal"/>
    <w:rsid w:val="00D06778"/>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212E7D"/>
    <w:rPr>
      <w:rFonts w:ascii="Tahoma" w:hAnsi="Tahoma" w:cs="Tahoma"/>
      <w:sz w:val="16"/>
      <w:szCs w:val="16"/>
    </w:rPr>
  </w:style>
  <w:style w:type="character" w:customStyle="1" w:styleId="BalloonTextChar">
    <w:name w:val="Balloon Text Char"/>
    <w:basedOn w:val="DefaultParagraphFont"/>
    <w:link w:val="BalloonText"/>
    <w:rsid w:val="00212E7D"/>
    <w:rPr>
      <w:rFonts w:ascii="Tahoma" w:hAnsi="Tahoma" w:cs="Tahoma"/>
      <w:sz w:val="16"/>
      <w:szCs w:val="16"/>
    </w:rPr>
  </w:style>
  <w:style w:type="paragraph" w:styleId="ListParagraph">
    <w:name w:val="List Paragraph"/>
    <w:basedOn w:val="Normal"/>
    <w:uiPriority w:val="34"/>
    <w:qFormat/>
    <w:rsid w:val="004335B6"/>
    <w:pPr>
      <w:ind w:left="720"/>
      <w:contextualSpacing/>
    </w:pPr>
  </w:style>
  <w:style w:type="table" w:styleId="TableGrid">
    <w:name w:val="Table Grid"/>
    <w:basedOn w:val="TableNormal"/>
    <w:rsid w:val="00433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4335B6"/>
    <w:rPr>
      <w:sz w:val="24"/>
    </w:rPr>
  </w:style>
  <w:style w:type="paragraph" w:styleId="Caption">
    <w:name w:val="caption"/>
    <w:basedOn w:val="Normal"/>
    <w:next w:val="Normal"/>
    <w:qFormat/>
    <w:rsid w:val="00F1678F"/>
    <w:pPr>
      <w:spacing w:before="360" w:after="120"/>
    </w:pPr>
    <w:rPr>
      <w:b/>
      <w:caps/>
      <w:sz w:val="22"/>
    </w:rPr>
  </w:style>
  <w:style w:type="paragraph" w:styleId="EndnoteText">
    <w:name w:val="endnote text"/>
    <w:basedOn w:val="Normal"/>
    <w:link w:val="EndnoteTextChar"/>
    <w:rsid w:val="00F1678F"/>
  </w:style>
  <w:style w:type="character" w:customStyle="1" w:styleId="EndnoteTextChar">
    <w:name w:val="Endnote Text Char"/>
    <w:basedOn w:val="DefaultParagraphFont"/>
    <w:link w:val="EndnoteText"/>
    <w:rsid w:val="00F1678F"/>
  </w:style>
  <w:style w:type="character" w:styleId="CommentReference">
    <w:name w:val="annotation reference"/>
    <w:basedOn w:val="DefaultParagraphFont"/>
    <w:rsid w:val="00800136"/>
    <w:rPr>
      <w:sz w:val="16"/>
      <w:szCs w:val="16"/>
    </w:rPr>
  </w:style>
  <w:style w:type="paragraph" w:styleId="CommentText">
    <w:name w:val="annotation text"/>
    <w:basedOn w:val="Normal"/>
    <w:link w:val="CommentTextChar"/>
    <w:rsid w:val="00800136"/>
  </w:style>
  <w:style w:type="character" w:customStyle="1" w:styleId="CommentTextChar">
    <w:name w:val="Comment Text Char"/>
    <w:basedOn w:val="DefaultParagraphFont"/>
    <w:link w:val="CommentText"/>
    <w:rsid w:val="00800136"/>
  </w:style>
  <w:style w:type="paragraph" w:styleId="CommentSubject">
    <w:name w:val="annotation subject"/>
    <w:basedOn w:val="CommentText"/>
    <w:next w:val="CommentText"/>
    <w:link w:val="CommentSubjectChar"/>
    <w:rsid w:val="00800136"/>
    <w:rPr>
      <w:b/>
      <w:bCs/>
    </w:rPr>
  </w:style>
  <w:style w:type="character" w:customStyle="1" w:styleId="CommentSubjectChar">
    <w:name w:val="Comment Subject Char"/>
    <w:basedOn w:val="CommentTextChar"/>
    <w:link w:val="CommentSubject"/>
    <w:rsid w:val="0080013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6EA8-FE65-4B73-AC85-DA0261AA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20738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arif_s</cp:lastModifiedBy>
  <cp:revision>2</cp:revision>
  <cp:lastPrinted>2009-02-12T15:11:00Z</cp:lastPrinted>
  <dcterms:created xsi:type="dcterms:W3CDTF">2013-05-09T12:02:00Z</dcterms:created>
  <dcterms:modified xsi:type="dcterms:W3CDTF">2013-05-09T12:02:00Z</dcterms:modified>
</cp:coreProperties>
</file>